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局立体停车库维保服务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CGXM-2025-350001-11941[2025]07819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[350001]SA[CS]2025005</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福建省林业局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福建顺安招标代理有限公司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2025年10月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福建省林业局</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局立体停车库维保服务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福建顺安招标代理有限公司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局立体停车库维保服务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CGXM-2025-350001-11941[2025]07819</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[350001]SA[CS]2025005</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1,240,000.00</w:t>
      </w:r>
    </w:p>
    <w:p>
      <w:pPr>
        <w:pStyle w:val="null3"/>
        <w:jc w:val="left"/>
      </w:pPr>
      <w:r>
        <w:rPr>
          <w:rFonts w:ascii="仿宋_GB2312" w:hAnsi="仿宋_GB2312" w:cs="仿宋_GB2312" w:eastAsia="仿宋_GB2312"/>
        </w:rPr>
        <w:t>采购包最高限价（元）: 1,240,000.00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局立体停车库维保服务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1,240,000.00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局立体停车库维保服务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局立体停车库维保服务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局立体停车库维保服务</w:t>
            </w:r>
          </w:p>
        </w:tc>
        <w:tc>
          <w:tcPr>
            <w:tcW w:type="dxa" w:w="2076"/>
          </w:tcPr>
          <w:p>
            <w:pPr>
              <w:pStyle w:val="null3"/>
              <w:jc w:val="left"/>
            </w:pPr>
            <w:r>
              <w:rPr>
                <w:rFonts w:ascii="仿宋_GB2312" w:hAnsi="仿宋_GB2312" w:cs="仿宋_GB2312" w:eastAsia="仿宋_GB2312"/>
              </w:rPr>
              <w:t>局立体停车库维保服务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1,240,000.00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根据《政府采购促进中小企业发展管理办法》（财库〔2020〕46号）文件，本项目专门面向中小企业采购（中小微企业、监狱企业、残疾人福利性单位）。1、供应商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3、符合条件的残疾人福利性单位参加采购活动时，应提供《残疾人福利性单位声明函》，并对声明的真实性负责。残疾人福利性单位视同小型、微型企业。※供应商应按照磋商文件 规定要求提供《中小企业声明函》或《残疾人福利性单位声明函》。(本项目为服务类采购项目，采购标的对应的中小企业划分标准所属行业为：其他未列明行业。）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福建省林业局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福州市冶山路10号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0591-86295048</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福建顺安招标代理有限公司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福州市鼓楼区湖东路79号福建外运大厦六层东区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齐雪英、王新骋、林升晶</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18950426006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福建顺安招标代理有限公司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根据《政府采购促进中小企业发展管理办法》（财库〔2020〕46号）文件，本项目专门面向中小企业采购（中小微企业、监狱企业、残疾人福利性单位）。1、供应商须提供《中小企业声明函》；2、监狱企业参加采购活动时，可不提供《中小企业声明函》，应提供由省级以上监狱管理局、戒毒管理局（含新疆生产建设兵团）出具的属于监狱企业的证明文件，监狱企业视同小型、微型企业； 3、符合条件的残疾人福利性单位参加采购活动时，应提供《残疾人福利性单位声明函》，并对声明的真实性负责。残疾人福利性单位视同小型、微型企业。※供应商应按照磋商文件 规定要求提供《中小企业声明函》或《残疾人福利性单位声明函》。(本项目为服务类采购项目，采购标的对应的中小企业划分标准所属行业为：其他未列明行业。）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竞争性磋商以进入磋商阶段的供应商在规定的时间内提交最后报价，超出约定时间（一般为一个小时）没有进行最终报价的供应商，视为主动退出磋商程序的无效供应商；（2）竞争性磋商文件如有变动，供应商除根据磋商小组的要求提交最后报价外还应提交补充响应文件，未按规定提交的，以无效标处理。</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代理服务费收费标准：1.收费标准：本项目的招标代理服务费(中标服务费)向中标供应商收取，中标供应商按差额定率累进法计算，向采购代理机构一次性缴纳中标服务费。 (1)以中标通知书规定的中标金额作为收费的计算基数。 (2)招标代理服务收费的标准：100(万元)以下收费费率标准: 1.50%；100-500（万元）收费费率标准:0.8%。招标代理服务费在中标人领取中标通知书前一次性缴清。2.招标代理服务费由成交人在领取成交通知书的同时，以转账、电汇、现金存款等付款方式一次性缴清。3.成交服务费缴交账号： 开户行：中国工商银行股份有限公司福州上江城支行 账 号：1402024609006902526 开户名：福建顺安招标代理有限公司。</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本项目推荐3名成交候选供应商，确定1名成交供应商。②通过远程参与开标流程的供应商须在系统远程解密开启后的30分钟内使用CA数字证书进行电子响应文件的解密操作，逾期未解密的视为放弃响应（如遇系统故障，解密时限将相应延长，具体以采购代理机构现场确定的解密时限为准）。③质疑受理的其它要求：在法定质疑期内质疑人须一次性提出针对同一采购程序环节的质疑，二（多）次质疑不予受理。质疑人递交质疑函时还应出具质疑人已在福建省政府采购网上公开信息系统上获取竞争性磋商文件的证明文件（体现查看时间或获取竞争性磋商文件时间）。【查看时间或获取竞争性磋商文件时间以福建省政府采购网上公开信息系统记载为准。】。（2）采购人有权对成交人递交的响应文件资料进行原件核实，供应商应对响应文件资料的真实性负责，如发现其所提交的资料不真实，采购人将视其为以弄虚作假方式骗取中标，其中标无效，没收其磋商保证金，给采购人造成的损失超过磋商保证金数额的，还应当对超过部分予以赔偿，并上报财政主管部门，同时依法承担相应法律责任。</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在响应文件中，涉及“单位负责人签字或盖章”内容可使用打字录入方式完成。</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技术部分评分PT 满分为72.0000分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51.00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根据供应商对本项目第三章采购内容及要求“二、技术要求”内容的响应情况，由磋商小组进行评分：带“★”的技术指标为不允许负偏离的实质性要求，每负偏离一项按无效响应处理（共计7项）； 其余技术指标每负偏离一项扣3分（共计17项），扣完为止；正偏离不加分。 注：凡标有最低一级序号的指标项即为一项技术条款，无论是否隶属于上一级编号。供应商须按照本文件所列的所有技术要求如实地填写逐条响应，并列出正负偏离情况；因编排错乱或响应不完整而导致的不利评审由供应商自行承担。</w:t>
            </w:r>
          </w:p>
        </w:tc>
      </w:tr>
      <w:tr>
        <w:tc>
          <w:tcPr>
            <w:tcW w:type="dxa" w:w="3322"/>
          </w:tcPr>
          <w:p>
            <w:pPr>
              <w:pStyle w:val="null3"/>
              <w:jc w:val="left"/>
            </w:pPr>
            <w:r>
              <w:rPr>
                <w:rFonts w:ascii="仿宋_GB2312" w:hAnsi="仿宋_GB2312" w:cs="仿宋_GB2312" w:eastAsia="仿宋_GB2312"/>
              </w:rPr>
              <w:t>2、维修工具情况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拟投入的维修工具情况，由磋商小组进行评分：专业度高，最切合本项目维保管理的得3分，维修工具专业度较高，较切合本项目维保管理的得2.8分，维修工具专业度一般的得2.6分。需提供工具清单、工具照片，未提供或提供不全本项不得分。</w:t>
            </w:r>
          </w:p>
        </w:tc>
      </w:tr>
      <w:tr>
        <w:tc>
          <w:tcPr>
            <w:tcW w:type="dxa" w:w="3322"/>
          </w:tcPr>
          <w:p>
            <w:pPr>
              <w:pStyle w:val="null3"/>
              <w:jc w:val="left"/>
            </w:pPr>
            <w:r>
              <w:rPr>
                <w:rFonts w:ascii="仿宋_GB2312" w:hAnsi="仿宋_GB2312" w:cs="仿宋_GB2312" w:eastAsia="仿宋_GB2312"/>
              </w:rPr>
              <w:t>3、制度方案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详细的日常设备巡检制度﹑巡检管理办法、设备巡检报表、现场检修计划等内容，由磋商小组进行评分：实施方案可行、可靠、合理，针对性好，措施具体、成熟的得3分；实施方案较可行、较可靠，针对性较好，措施较具体的得2.8分；实施方案不太可行、不太可靠、措施不太具体的得2.6分；未提供本项不得分。</w:t>
            </w:r>
          </w:p>
        </w:tc>
      </w:tr>
      <w:tr>
        <w:tc>
          <w:tcPr>
            <w:tcW w:type="dxa" w:w="3322"/>
          </w:tcPr>
          <w:p>
            <w:pPr>
              <w:pStyle w:val="null3"/>
              <w:jc w:val="left"/>
            </w:pPr>
            <w:r>
              <w:rPr>
                <w:rFonts w:ascii="仿宋_GB2312" w:hAnsi="仿宋_GB2312" w:cs="仿宋_GB2312" w:eastAsia="仿宋_GB2312"/>
              </w:rPr>
              <w:t>4、备品备件库存条件</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备品备件库存条件情况，由磋商小组进行评分：备品备件库存条件可靠、合理、备件充足的得3分；备品备件库存条件较可靠、较合理、备件较充足的得2.8分；备品备件库存条件不太可靠、不太合理、备件少的得2.6分；未提供本项不得分。</w:t>
            </w:r>
          </w:p>
        </w:tc>
      </w:tr>
      <w:tr>
        <w:tc>
          <w:tcPr>
            <w:tcW w:type="dxa" w:w="3322"/>
          </w:tcPr>
          <w:p>
            <w:pPr>
              <w:pStyle w:val="null3"/>
              <w:jc w:val="left"/>
            </w:pPr>
            <w:r>
              <w:rPr>
                <w:rFonts w:ascii="仿宋_GB2312" w:hAnsi="仿宋_GB2312" w:cs="仿宋_GB2312" w:eastAsia="仿宋_GB2312"/>
              </w:rPr>
              <w:t>5、维护保养实施方案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维护保修服务的质量保证措施情况：由磋商小组进行评分：方案详细完整合理、可行性高、针对性强的得3分；方案较完整、具备一定可行性的、针对性较强得2.8分；实施方案一般，可行性、针对性较弱的得2.6分；未提供的不得分。</w:t>
            </w:r>
          </w:p>
        </w:tc>
      </w:tr>
      <w:tr>
        <w:tc>
          <w:tcPr>
            <w:tcW w:type="dxa" w:w="3322"/>
          </w:tcPr>
          <w:p>
            <w:pPr>
              <w:pStyle w:val="null3"/>
              <w:jc w:val="left"/>
            </w:pPr>
            <w:r>
              <w:rPr>
                <w:rFonts w:ascii="仿宋_GB2312" w:hAnsi="仿宋_GB2312" w:cs="仿宋_GB2312" w:eastAsia="仿宋_GB2312"/>
              </w:rPr>
              <w:t>6、重难点分析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提供的对项目重点、难点的分析及解决方案等方面进行评价，由磋商小组进行评分：方案阐述详细完整合理、可行性高的得3分；方案阐述较完整、具备一定可行性的得2.8分；方案阐述情况一般，可行性较弱的得2.6分；未提供的不得分。</w:t>
            </w:r>
          </w:p>
        </w:tc>
      </w:tr>
      <w:tr>
        <w:tc>
          <w:tcPr>
            <w:tcW w:type="dxa" w:w="3322"/>
          </w:tcPr>
          <w:p>
            <w:pPr>
              <w:pStyle w:val="null3"/>
              <w:jc w:val="left"/>
            </w:pPr>
            <w:r>
              <w:rPr>
                <w:rFonts w:ascii="仿宋_GB2312" w:hAnsi="仿宋_GB2312" w:cs="仿宋_GB2312" w:eastAsia="仿宋_GB2312"/>
              </w:rPr>
              <w:t>7、应急预案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针对本项目提供的发生紧急事件的应急预案情况，由磋商小组进行评分：方案对不可预见因素分析透彻、详细完整合理、可行性高的得3分；方案对不可预见因素分析较透彻、较完整、具备一定可行性的得2.8分；方案对不可预见因素分析一般，可行性较弱的得2.6分；未提供的不得分。</w:t>
            </w:r>
          </w:p>
        </w:tc>
      </w:tr>
      <w:tr>
        <w:tc>
          <w:tcPr>
            <w:tcW w:type="dxa" w:w="3322"/>
          </w:tcPr>
          <w:p>
            <w:pPr>
              <w:pStyle w:val="null3"/>
              <w:jc w:val="left"/>
            </w:pPr>
            <w:r>
              <w:rPr>
                <w:rFonts w:ascii="仿宋_GB2312" w:hAnsi="仿宋_GB2312" w:cs="仿宋_GB2312" w:eastAsia="仿宋_GB2312"/>
              </w:rPr>
              <w:t>8、企业技术人员情况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或所投设备生产厂家具有中国重型机械工业协会颁发的停车设备工作委员会专家证书（证书在有效期内），每提供一项证书得1分，满分3分。须提供有效证书复印件及提交响应文件截止时间前六个月内任意一个月供应商或设备生产厂家为其缴交的社保证明材料，未提供或提供不完整的不得分。原件备查。</w:t>
            </w:r>
          </w:p>
        </w:tc>
      </w:tr>
    </w:tbl>
    <w:p>
      <w:pPr>
        <w:pStyle w:val="null3"/>
        <w:jc w:val="left"/>
      </w:pPr>
      <w:r>
        <w:rPr>
          <w:rFonts w:ascii="仿宋_GB2312" w:hAnsi="仿宋_GB2312" w:cs="仿宋_GB2312" w:eastAsia="仿宋_GB2312"/>
        </w:rPr>
        <w:t>商务部分评分PB 满分为18.0000分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根据供应商为本项目拟配备的项目负责人情况，由磋商小组进行评分：项目负责人具有本科及以上学历且同时具有中级或以上工程师职称的得2分，在此基础上，同时具有5年（含）及以上从业年限的得3分。 须提供学历证书、职称证书复印件、从业年限证明材料及提交响应文件截止时间前六个月中任意一个月（不含提交响应文件截止时间当月）供应商为其缴交的社保证明材料，原件备查。</w:t>
            </w:r>
          </w:p>
        </w:tc>
      </w:tr>
      <w:tr>
        <w:tc>
          <w:tcPr>
            <w:tcW w:type="dxa" w:w="3322"/>
          </w:tcPr>
          <w:p>
            <w:pPr>
              <w:pStyle w:val="null3"/>
              <w:jc w:val="left"/>
            </w:pPr>
            <w:r>
              <w:rPr>
                <w:rFonts w:ascii="仿宋_GB2312" w:hAnsi="仿宋_GB2312" w:cs="仿宋_GB2312" w:eastAsia="仿宋_GB2312"/>
              </w:rPr>
              <w:t>2、项目负责人经验情况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根据供应商为本项目拟配备的项目负责人具有的同类项目经验情况，由磋商小组进行评分：每提供一份经验合同（合同中应体现项目负责人名字，同类项目指包含立体停车场安装或维保）的得1分，满分3分。</w:t>
            </w:r>
          </w:p>
        </w:tc>
      </w:tr>
      <w:tr>
        <w:tc>
          <w:tcPr>
            <w:tcW w:type="dxa" w:w="3322"/>
          </w:tcPr>
          <w:p>
            <w:pPr>
              <w:pStyle w:val="null3"/>
              <w:jc w:val="left"/>
            </w:pPr>
            <w:r>
              <w:rPr>
                <w:rFonts w:ascii="仿宋_GB2312" w:hAnsi="仿宋_GB2312" w:cs="仿宋_GB2312" w:eastAsia="仿宋_GB2312"/>
              </w:rPr>
              <w:t>3、团队成员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在满足本项目要求的基础上，根据供应商为本项目拟配备的团队成员情况，由磋商小组进行评分：除项目负责人外，供应商为本项目拟配备的团队成员中，每提供1名具有本科及以上学历且同时具有中级及以上工程师职称证书的得1分，满分3分。 须提供学历证书、职称证书复印件、提交响应文件截止时间前六个月中任意一个月（不含提交响应文件截止时间当月）供应商为其缴交的社保证明材料，原件备查。</w:t>
            </w:r>
          </w:p>
        </w:tc>
      </w:tr>
      <w:tr>
        <w:tc>
          <w:tcPr>
            <w:tcW w:type="dxa" w:w="3322"/>
          </w:tcPr>
          <w:p>
            <w:pPr>
              <w:pStyle w:val="null3"/>
              <w:jc w:val="left"/>
            </w:pPr>
            <w:r>
              <w:rPr>
                <w:rFonts w:ascii="仿宋_GB2312" w:hAnsi="仿宋_GB2312" w:cs="仿宋_GB2312" w:eastAsia="仿宋_GB2312"/>
              </w:rPr>
              <w:t>4、满意度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2022年1月1日起至提交响应文件截止时止，由采购人出具的同类项目（同类项目包含立体停车场安装或维保）满意度评价情况，由磋商小组进行评分：每提供1份满意度证明材料,评价为好、满意或同档次评价的得0.5分，满分3分。（需提供采购人出具的服务合同、服务评价表加盖采购人公章）</w:t>
            </w:r>
          </w:p>
        </w:tc>
      </w:tr>
      <w:tr>
        <w:tc>
          <w:tcPr>
            <w:tcW w:type="dxa" w:w="3322"/>
          </w:tcPr>
          <w:p>
            <w:pPr>
              <w:pStyle w:val="null3"/>
              <w:jc w:val="left"/>
            </w:pPr>
            <w:r>
              <w:rPr>
                <w:rFonts w:ascii="仿宋_GB2312" w:hAnsi="仿宋_GB2312" w:cs="仿宋_GB2312" w:eastAsia="仿宋_GB2312"/>
              </w:rPr>
              <w:t>5、免费质保期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在满足本项目要求的基础上，供应商为本项目提供的配件免费质保期每延长一年得1分，满分3分。需提供承诺函，未承诺或承诺内容缺漏者，本项不得分，满分3分。（格式自拟）</w:t>
            </w:r>
          </w:p>
        </w:tc>
      </w:tr>
      <w:tr>
        <w:tc>
          <w:tcPr>
            <w:tcW w:type="dxa" w:w="3322"/>
          </w:tcPr>
          <w:p>
            <w:pPr>
              <w:pStyle w:val="null3"/>
              <w:jc w:val="left"/>
            </w:pPr>
            <w:r>
              <w:rPr>
                <w:rFonts w:ascii="仿宋_GB2312" w:hAnsi="仿宋_GB2312" w:cs="仿宋_GB2312" w:eastAsia="仿宋_GB2312"/>
              </w:rPr>
              <w:t>6、服务便捷性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为了保障项目服务的售后服务和响应性，供应商设有免费400或800的24小时应急服务电话的得3分，其余情况不得分。（须提供相关证明材料）</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其他情形 供应商响应竞争性磋商文件第三章“二、技术要求”中标注“★”的内容出现负偏离的，按响应无效处理。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供应商的响应文件不满足磋商文件第三章 “三、商务条件”中的任何一项要求的，按响应无效处理。</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如果供应商的最后报价明显低于其他供应商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1.本项目为</w:t>
      </w:r>
      <w:r>
        <w:rPr>
          <w:rFonts w:ascii="仿宋_GB2312" w:hAnsi="仿宋_GB2312" w:cs="仿宋_GB2312" w:eastAsia="仿宋_GB2312"/>
          <w:sz w:val="24"/>
          <w:shd w:fill="FFFFFF" w:val="clear"/>
        </w:rPr>
        <w:t>局立体停车库维保服务采购项目</w:t>
      </w:r>
      <w:r>
        <w:rPr>
          <w:rFonts w:ascii="仿宋_GB2312" w:hAnsi="仿宋_GB2312" w:cs="仿宋_GB2312" w:eastAsia="仿宋_GB2312"/>
          <w:sz w:val="24"/>
          <w:shd w:fill="FFFFFF" w:val="clear"/>
        </w:rPr>
        <w:t>，供应商务必仔细阅读磋商文件中所规定的，其中包括技术规格在内的所有细则，根据磋商文件要求提供优质的服务。</w:t>
      </w:r>
    </w:p>
    <w:p>
      <w:pPr>
        <w:pStyle w:val="null3"/>
        <w:ind w:firstLine="641"/>
        <w:jc w:val="left"/>
      </w:pPr>
      <w:r>
        <w:rPr>
          <w:rFonts w:ascii="仿宋_GB2312" w:hAnsi="仿宋_GB2312" w:cs="仿宋_GB2312" w:eastAsia="仿宋_GB2312"/>
          <w:sz w:val="24"/>
          <w:shd w:fill="FFFFFF" w:val="clear"/>
        </w:rPr>
        <w:t>2.福建省林业局立体停车设备位于福州市鼓楼区冶山路，该设备是8层垂直升降，合计116个车位。立体停车场共有2套系统及4个出入口，每个出入口都能存取车辆，容车尺寸为：5300mm*1900mm*2000mm和5000mm*1900mm*1550mm。</w:t>
      </w:r>
    </w:p>
    <w:p>
      <w:pPr>
        <w:pStyle w:val="null3"/>
        <w:ind w:firstLine="641"/>
        <w:jc w:val="left"/>
      </w:pPr>
      <w:r>
        <w:rPr>
          <w:rFonts w:ascii="仿宋_GB2312" w:hAnsi="仿宋_GB2312" w:cs="仿宋_GB2312" w:eastAsia="仿宋_GB2312"/>
          <w:sz w:val="24"/>
          <w:shd w:fill="FFFFFF" w:val="clear"/>
        </w:rPr>
        <w:t>3.各潜在供应商可自行前往维保地点进行现场踏勘，以便获取有关编制响应文件所涉及现场的资料，对于维保现场及位置等原因造成费用增加时，各供应商应综合考虑在投标报价内。采购人对供应商实地勘察后做出的任何推论、理解和结论均不负责任，踏勘现场所发生的费用及发生的意外均由潜在供应商自行承担。</w:t>
      </w:r>
    </w:p>
    <w:p>
      <w:pPr>
        <w:pStyle w:val="null3"/>
        <w:ind w:firstLine="641"/>
        <w:jc w:val="left"/>
      </w:pPr>
      <w:r>
        <w:rPr>
          <w:rFonts w:ascii="仿宋_GB2312" w:hAnsi="仿宋_GB2312" w:cs="仿宋_GB2312" w:eastAsia="仿宋_GB2312"/>
          <w:sz w:val="24"/>
          <w:shd w:fill="FFFFFF" w:val="clear"/>
        </w:rPr>
        <w:t>4.本项目的服务期限为2年。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rPr>
        <w:t>★1、维护规程</w:t>
      </w:r>
    </w:p>
    <w:tbl>
      <w:tblPr>
        <w:tblW w:w="0" w:type="auto"/>
        <w:tblBorders>
          <w:top w:val="none" w:color="000000" w:sz="4"/>
          <w:left w:val="none" w:color="000000" w:sz="4"/>
          <w:bottom w:val="none" w:color="000000" w:sz="4"/>
          <w:right w:val="none" w:color="000000" w:sz="4"/>
          <w:insideH w:val="none"/>
          <w:insideV w:val="none"/>
        </w:tblBorders>
      </w:tblPr>
      <w:tblGrid>
        <w:gridCol w:w="812"/>
        <w:gridCol w:w="1580"/>
        <w:gridCol w:w="2102"/>
        <w:gridCol w:w="855"/>
        <w:gridCol w:w="696"/>
        <w:gridCol w:w="551"/>
        <w:gridCol w:w="551"/>
        <w:gridCol w:w="493"/>
        <w:gridCol w:w="667"/>
      </w:tblGrid>
      <w:tr>
        <w:tc>
          <w:tcPr>
            <w:tcW w:type="dxa" w:w="8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序号</w:t>
            </w:r>
          </w:p>
        </w:tc>
        <w:tc>
          <w:tcPr>
            <w:tcW w:type="dxa" w:w="158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检查项目</w:t>
            </w:r>
          </w:p>
        </w:tc>
        <w:tc>
          <w:tcPr>
            <w:tcW w:type="dxa" w:w="210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检查方法、内容及要求</w:t>
            </w:r>
          </w:p>
        </w:tc>
        <w:tc>
          <w:tcPr>
            <w:tcW w:type="dxa" w:w="8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处置方式</w:t>
            </w:r>
          </w:p>
        </w:tc>
        <w:tc>
          <w:tcPr>
            <w:tcW w:type="dxa" w:w="229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周期</w:t>
            </w:r>
          </w:p>
        </w:tc>
        <w:tc>
          <w:tcPr>
            <w:tcW w:type="dxa" w:w="66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备注</w:t>
            </w:r>
          </w:p>
        </w:tc>
      </w:tr>
      <w:tr>
        <w:tc>
          <w:tcPr>
            <w:tcW w:type="dxa" w:w="812"/>
            <w:vMerge/>
            <w:tcBorders>
              <w:top w:val="single" w:color="000000" w:sz="4"/>
              <w:left w:val="single" w:color="000000" w:sz="4"/>
              <w:bottom w:val="single" w:color="000000" w:sz="4"/>
              <w:right w:val="single" w:color="000000" w:sz="4"/>
            </w:tcBorders>
          </w:tcPr>
          <w:p/>
        </w:tc>
        <w:tc>
          <w:tcPr>
            <w:tcW w:type="dxa" w:w="1580"/>
            <w:vMerge/>
            <w:tcBorders>
              <w:top w:val="single" w:color="000000" w:sz="4"/>
              <w:left w:val="none" w:color="000000" w:sz="4"/>
              <w:bottom w:val="single" w:color="000000" w:sz="4"/>
              <w:right w:val="single" w:color="000000" w:sz="4"/>
            </w:tcBorders>
          </w:tcPr>
          <w:p/>
        </w:tc>
        <w:tc>
          <w:tcPr>
            <w:tcW w:type="dxa" w:w="2102"/>
            <w:vMerge/>
            <w:tcBorders>
              <w:top w:val="single" w:color="000000" w:sz="4"/>
              <w:left w:val="none" w:color="000000" w:sz="4"/>
              <w:bottom w:val="single" w:color="000000" w:sz="4"/>
              <w:right w:val="single" w:color="000000" w:sz="4"/>
            </w:tcBorders>
          </w:tcPr>
          <w:p/>
        </w:tc>
        <w:tc>
          <w:tcPr>
            <w:tcW w:type="dxa" w:w="855"/>
            <w:vMerge/>
            <w:tcBorders>
              <w:top w:val="single" w:color="000000" w:sz="4"/>
              <w:left w:val="non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半月检</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月检</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季检</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年检</w:t>
            </w:r>
          </w:p>
        </w:tc>
        <w:tc>
          <w:tcPr>
            <w:tcW w:type="dxa" w:w="667"/>
            <w:vMerge/>
            <w:tcBorders>
              <w:top w:val="single" w:color="000000" w:sz="4"/>
              <w:left w:val="none" w:color="000000" w:sz="4"/>
              <w:bottom w:val="single" w:color="000000" w:sz="4"/>
              <w:right w:val="single" w:color="000000" w:sz="4"/>
            </w:tcBorders>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安全标志</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目测检查标牌、安全标志应齐全、清晰</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底坑</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目测检查底坑应无积水、杂物等影响设备运行的物质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保养</w:t>
            </w:r>
            <w:r>
              <w:rPr>
                <w:rFonts w:ascii="仿宋_GB2312" w:hAnsi="仿宋_GB2312" w:cs="仿宋_GB2312" w:eastAsia="仿宋_GB2312"/>
                <w:sz w:val="24"/>
              </w:rPr>
              <w:t>/清除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连接件</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目测检查主要受力结构件、部件、各机构的连接件、应无缺损、无松动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r>
              <w:rPr>
                <w:rFonts w:ascii="仿宋_GB2312" w:hAnsi="仿宋_GB2312" w:cs="仿宋_GB2312" w:eastAsia="仿宋_GB2312"/>
                <w:sz w:val="24"/>
              </w:rPr>
              <w:t>/调整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可靠性</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空载试验，每套控制单元完成一次存取车，应无异常振动、噪声</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停机调整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周围环境</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在排除其他干扰的情况下，测量停车设备产生的噪声，噪声值应符合各产品标准的规定</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r>
              <w:rPr>
                <w:rFonts w:ascii="仿宋_GB2312" w:hAnsi="仿宋_GB2312" w:cs="仿宋_GB2312" w:eastAsia="仿宋_GB2312"/>
                <w:sz w:val="24"/>
              </w:rPr>
              <w:t>/调整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照明</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设备维修、保养所需的照明，如驱动装置和电气柜周围可专门设置一些照明装置</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立柱、横梁</w:t>
            </w:r>
            <w:r>
              <w:rPr>
                <w:rFonts w:ascii="仿宋_GB2312" w:hAnsi="仿宋_GB2312" w:cs="仿宋_GB2312" w:eastAsia="仿宋_GB2312"/>
                <w:sz w:val="24"/>
              </w:rPr>
              <w:t>和纵梁等</w:t>
            </w:r>
            <w:r>
              <w:rPr>
                <w:rFonts w:ascii="仿宋_GB2312" w:hAnsi="仿宋_GB2312" w:cs="仿宋_GB2312" w:eastAsia="仿宋_GB2312"/>
                <w:sz w:val="24"/>
              </w:rPr>
              <w:t>主要受力</w:t>
            </w:r>
            <w:r>
              <w:rPr>
                <w:rFonts w:ascii="仿宋_GB2312" w:hAnsi="仿宋_GB2312" w:cs="仿宋_GB2312" w:eastAsia="仿宋_GB2312"/>
                <w:sz w:val="24"/>
              </w:rPr>
              <w:t>结构件</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测量金属结构的垂直度、平行度、对角线长度应分别符合各产品标准的规定</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校正</w:t>
            </w:r>
            <w:r>
              <w:rPr>
                <w:rFonts w:ascii="仿宋_GB2312" w:hAnsi="仿宋_GB2312" w:cs="仿宋_GB2312" w:eastAsia="仿宋_GB2312"/>
                <w:sz w:val="24"/>
              </w:rPr>
              <w:t>/调整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目测检查各结构焊缝应无裂纹</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目测检查主要受力结构件应无明显塑性变形</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目测检查主要受力结构件应无锈蚀现象</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导轨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目测检查导轨应固定牢固、接头平整</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测量导轨接头的间隙应符合各产品标准的规定</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搬运器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目测检查搬运器、载车板应清洁</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保养</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目测检查搬运器、载车板应无明显变形和损伤</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钢丝绳</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目测检查应无明显变形，钢丝绳尾端防松或自紧装置应无缺损，无松动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保养或更换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钢丝绳报废标准：可见断丝、断股、腐蚀畸形和损伤。（扭结、折弯、钢丝绳环状突出、绳芯或绳股突出或扭曲、热和电弧引起的损伤）</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卷筒</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目测检查应无明显变形，钢丝绳尾端防松或自紧装置应无缺损，无松动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卷筒出现下述情况之一时应报废：</w:t>
            </w:r>
            <w:r>
              <w:rPr>
                <w:rFonts w:ascii="仿宋_GB2312" w:hAnsi="仿宋_GB2312" w:cs="仿宋_GB2312" w:eastAsia="仿宋_GB2312"/>
                <w:sz w:val="24"/>
              </w:rPr>
              <w:t>A、裂纹；B、筒壁磨损达原壁厚的20%。</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滑轮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滑轮出现下述情况之一时应报废：</w:t>
            </w:r>
            <w:r>
              <w:rPr>
                <w:rFonts w:ascii="仿宋_GB2312" w:hAnsi="仿宋_GB2312" w:cs="仿宋_GB2312" w:eastAsia="仿宋_GB2312"/>
                <w:sz w:val="24"/>
              </w:rPr>
              <w:t>A、裂纹；B、绳槽径向磨损量达钢丝绳直径的50%；C、绳槽壁厚磨损量达原壁厚的20%；D、绳槽不均匀磨损量达3mm；E、其他损害钢丝绳的缺陷。</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链条</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目测检查防脱措施应有效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链条出现下述情况之一应报废：</w:t>
            </w:r>
            <w:r>
              <w:rPr>
                <w:rFonts w:ascii="仿宋_GB2312" w:hAnsi="仿宋_GB2312" w:cs="仿宋_GB2312" w:eastAsia="仿宋_GB2312"/>
                <w:sz w:val="24"/>
              </w:rPr>
              <w:t>A、可见裂纹；B、过盈配合处松动；C、链条相对磨损伸长率达到3%。</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起升用螺杆</w:t>
            </w:r>
            <w:r>
              <w:rPr>
                <w:rFonts w:ascii="仿宋_GB2312" w:hAnsi="仿宋_GB2312" w:cs="仿宋_GB2312" w:eastAsia="仿宋_GB2312"/>
                <w:sz w:val="24"/>
              </w:rPr>
              <w:t>/螺母</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通过空载试验检查运转应动作灵活、无卡阻</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目测检查应无裂纹</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目测检查防止尖锐物和异物进入的装置应无缺损、无松动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目测检查螺杆两端止挡装置应无缺损、无松动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续表</w:t>
            </w:r>
            <w:r>
              <w:rPr>
                <w:rFonts w:ascii="仿宋_GB2312" w:hAnsi="仿宋_GB2312" w:cs="仿宋_GB2312" w:eastAsia="仿宋_GB2312"/>
                <w:sz w:val="24"/>
                <w:b/>
              </w:rPr>
              <w:t>1</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检查项目</w:t>
            </w:r>
          </w:p>
        </w:tc>
        <w:tc>
          <w:tcPr>
            <w:tcW w:type="dxa" w:w="2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检查方法、内容及要求</w:t>
            </w:r>
          </w:p>
        </w:tc>
        <w:tc>
          <w:tcPr>
            <w:tcW w:type="dxa" w:w="8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处置方式</w:t>
            </w:r>
          </w:p>
        </w:tc>
        <w:tc>
          <w:tcPr>
            <w:tcW w:type="dxa" w:w="229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周期</w:t>
            </w:r>
          </w:p>
        </w:tc>
        <w:tc>
          <w:tcPr>
            <w:tcW w:type="dxa" w:w="6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ind w:firstLine="240"/>
              <w:jc w:val="left"/>
            </w:pPr>
            <w:r>
              <w:rPr>
                <w:rFonts w:ascii="仿宋_GB2312" w:hAnsi="仿宋_GB2312" w:cs="仿宋_GB2312" w:eastAsia="仿宋_GB2312"/>
                <w:sz w:val="24"/>
              </w:rPr>
              <w:t>备注</w:t>
            </w:r>
          </w:p>
        </w:tc>
      </w:tr>
      <w:tr>
        <w:tc>
          <w:tcPr>
            <w:tcW w:type="dxa" w:w="812"/>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single" w:color="000000" w:sz="4"/>
              <w:right w:val="single" w:color="000000" w:sz="4"/>
            </w:tcBorders>
          </w:tcPr>
          <w:p/>
        </w:tc>
        <w:tc>
          <w:tcPr>
            <w:tcW w:type="dxa" w:w="2102"/>
            <w:vMerge/>
            <w:tcBorders>
              <w:top w:val="none" w:color="000000" w:sz="4"/>
              <w:left w:val="none" w:color="000000" w:sz="4"/>
              <w:bottom w:val="single" w:color="000000" w:sz="4"/>
              <w:right w:val="single" w:color="000000" w:sz="4"/>
            </w:tcBorders>
          </w:tcPr>
          <w:p/>
        </w:tc>
        <w:tc>
          <w:tcPr>
            <w:tcW w:type="dxa" w:w="855"/>
            <w:vMerge/>
            <w:tcBorders>
              <w:top w:val="none" w:color="000000" w:sz="4"/>
              <w:left w:val="non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半月检</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月检</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季检</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年检</w:t>
            </w:r>
          </w:p>
        </w:tc>
        <w:tc>
          <w:tcPr>
            <w:tcW w:type="dxa" w:w="667"/>
            <w:vMerge/>
            <w:tcBorders>
              <w:top w:val="none" w:color="000000" w:sz="4"/>
              <w:left w:val="none" w:color="000000" w:sz="4"/>
              <w:bottom w:val="single" w:color="000000" w:sz="4"/>
              <w:right w:val="single" w:color="000000" w:sz="4"/>
            </w:tcBorders>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1</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起升用螺杆</w:t>
            </w:r>
            <w:r>
              <w:rPr>
                <w:rFonts w:ascii="仿宋_GB2312" w:hAnsi="仿宋_GB2312" w:cs="仿宋_GB2312" w:eastAsia="仿宋_GB2312"/>
                <w:sz w:val="24"/>
              </w:rPr>
              <w:t>/螺母</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通过空载试验检查载车板到达终点后起升螺杆副应有足够的安全缓冲行程</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调整</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目测检查防止载车板落地后对螺杆副直接冲击的装置应无缺损、无松动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制动系统</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通过空载试验检查制动器应该工作正常</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调整或更换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目测检查制动摩擦面应无影响制动性能的缺陷或油污</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维护或更换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回转盘</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设有定位装置的回转盘</w:t>
            </w:r>
            <w:r>
              <w:rPr>
                <w:rFonts w:ascii="仿宋_GB2312" w:hAnsi="仿宋_GB2312" w:cs="仿宋_GB2312" w:eastAsia="仿宋_GB2312"/>
                <w:sz w:val="24"/>
              </w:rPr>
              <w:t>，</w:t>
            </w:r>
            <w:r>
              <w:rPr>
                <w:rFonts w:ascii="仿宋_GB2312" w:hAnsi="仿宋_GB2312" w:cs="仿宋_GB2312" w:eastAsia="仿宋_GB2312"/>
                <w:sz w:val="24"/>
              </w:rPr>
              <w:t>目测检查在升降或旋转位置定位装置应有效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空载试验，运行应平稳、可靠</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工作区围栏</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目测检查应完整、无损坏</w:t>
            </w:r>
            <w:r>
              <w:rPr>
                <w:rFonts w:ascii="仿宋_GB2312" w:hAnsi="仿宋_GB2312" w:cs="仿宋_GB2312" w:eastAsia="仿宋_GB2312"/>
                <w:sz w:val="24"/>
              </w:rPr>
              <w:t>，</w:t>
            </w:r>
            <w:r>
              <w:rPr>
                <w:rFonts w:ascii="仿宋_GB2312" w:hAnsi="仿宋_GB2312" w:cs="仿宋_GB2312" w:eastAsia="仿宋_GB2312"/>
                <w:sz w:val="24"/>
              </w:rPr>
              <w:t>连接处无松动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过压保护</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通过功能试验检查安全保护装置应有效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调整或维修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液压油</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目测检查油缸</w:t>
            </w:r>
            <w:r>
              <w:rPr>
                <w:rFonts w:ascii="仿宋_GB2312" w:hAnsi="仿宋_GB2312" w:cs="仿宋_GB2312" w:eastAsia="仿宋_GB2312"/>
                <w:sz w:val="24"/>
              </w:rPr>
              <w:t>，</w:t>
            </w:r>
            <w:r>
              <w:rPr>
                <w:rFonts w:ascii="仿宋_GB2312" w:hAnsi="仿宋_GB2312" w:cs="仿宋_GB2312" w:eastAsia="仿宋_GB2312"/>
                <w:sz w:val="24"/>
              </w:rPr>
              <w:t>管路</w:t>
            </w:r>
            <w:r>
              <w:rPr>
                <w:rFonts w:ascii="仿宋_GB2312" w:hAnsi="仿宋_GB2312" w:cs="仿宋_GB2312" w:eastAsia="仿宋_GB2312"/>
                <w:sz w:val="24"/>
              </w:rPr>
              <w:t>，</w:t>
            </w:r>
            <w:r>
              <w:rPr>
                <w:rFonts w:ascii="仿宋_GB2312" w:hAnsi="仿宋_GB2312" w:cs="仿宋_GB2312" w:eastAsia="仿宋_GB2312"/>
                <w:sz w:val="24"/>
              </w:rPr>
              <w:t>接头应无松动，无漏油，无异响</w:t>
            </w:r>
            <w:r>
              <w:rPr>
                <w:rFonts w:ascii="仿宋_GB2312" w:hAnsi="仿宋_GB2312" w:cs="仿宋_GB2312" w:eastAsia="仿宋_GB2312"/>
                <w:sz w:val="24"/>
              </w:rPr>
              <w:t>，</w:t>
            </w:r>
            <w:r>
              <w:rPr>
                <w:rFonts w:ascii="仿宋_GB2312" w:hAnsi="仿宋_GB2312" w:cs="仿宋_GB2312" w:eastAsia="仿宋_GB2312"/>
                <w:sz w:val="24"/>
              </w:rPr>
              <w:t>无过热现象</w:t>
            </w:r>
            <w:r>
              <w:rPr>
                <w:rFonts w:ascii="仿宋_GB2312" w:hAnsi="仿宋_GB2312" w:cs="仿宋_GB2312" w:eastAsia="仿宋_GB2312"/>
                <w:sz w:val="24"/>
              </w:rPr>
              <w:t>，</w:t>
            </w:r>
            <w:r>
              <w:rPr>
                <w:rFonts w:ascii="仿宋_GB2312" w:hAnsi="仿宋_GB2312" w:cs="仿宋_GB2312" w:eastAsia="仿宋_GB2312"/>
                <w:sz w:val="24"/>
              </w:rPr>
              <w:t>液位在正常范围内</w:t>
            </w:r>
            <w:r>
              <w:rPr>
                <w:rFonts w:ascii="仿宋_GB2312" w:hAnsi="仿宋_GB2312" w:cs="仿宋_GB2312" w:eastAsia="仿宋_GB2312"/>
                <w:sz w:val="24"/>
              </w:rPr>
              <w:t>，</w:t>
            </w:r>
            <w:r>
              <w:rPr>
                <w:rFonts w:ascii="仿宋_GB2312" w:hAnsi="仿宋_GB2312" w:cs="仿宋_GB2312" w:eastAsia="仿宋_GB2312"/>
                <w:sz w:val="24"/>
              </w:rPr>
              <w:t>油质符合要求</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供电电源</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目测检查供电电源应工作正常</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总断路器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通过功能试验检查总断路器应功能正常</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电气元件、电线电缆及电气配线</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目测检查断路器</w:t>
            </w:r>
            <w:r>
              <w:rPr>
                <w:rFonts w:ascii="仿宋_GB2312" w:hAnsi="仿宋_GB2312" w:cs="仿宋_GB2312" w:eastAsia="仿宋_GB2312"/>
                <w:sz w:val="24"/>
              </w:rPr>
              <w:t>、</w:t>
            </w:r>
            <w:r>
              <w:rPr>
                <w:rFonts w:ascii="仿宋_GB2312" w:hAnsi="仿宋_GB2312" w:cs="仿宋_GB2312" w:eastAsia="仿宋_GB2312"/>
                <w:sz w:val="24"/>
              </w:rPr>
              <w:t>熔断器</w:t>
            </w:r>
            <w:r>
              <w:rPr>
                <w:rFonts w:ascii="仿宋_GB2312" w:hAnsi="仿宋_GB2312" w:cs="仿宋_GB2312" w:eastAsia="仿宋_GB2312"/>
                <w:sz w:val="24"/>
              </w:rPr>
              <w:t>、</w:t>
            </w:r>
            <w:r>
              <w:rPr>
                <w:rFonts w:ascii="仿宋_GB2312" w:hAnsi="仿宋_GB2312" w:cs="仿宋_GB2312" w:eastAsia="仿宋_GB2312"/>
                <w:sz w:val="24"/>
              </w:rPr>
              <w:t>相序开关、接触器</w:t>
            </w:r>
            <w:r>
              <w:rPr>
                <w:rFonts w:ascii="仿宋_GB2312" w:hAnsi="仿宋_GB2312" w:cs="仿宋_GB2312" w:eastAsia="仿宋_GB2312"/>
                <w:sz w:val="24"/>
              </w:rPr>
              <w:t>、中间</w:t>
            </w:r>
            <w:r>
              <w:rPr>
                <w:rFonts w:ascii="仿宋_GB2312" w:hAnsi="仿宋_GB2312" w:cs="仿宋_GB2312" w:eastAsia="仿宋_GB2312"/>
                <w:sz w:val="24"/>
              </w:rPr>
              <w:t>继电器</w:t>
            </w:r>
            <w:r>
              <w:rPr>
                <w:rFonts w:ascii="仿宋_GB2312" w:hAnsi="仿宋_GB2312" w:cs="仿宋_GB2312" w:eastAsia="仿宋_GB2312"/>
                <w:sz w:val="24"/>
              </w:rPr>
              <w:t>、</w:t>
            </w:r>
            <w:r>
              <w:rPr>
                <w:rFonts w:ascii="仿宋_GB2312" w:hAnsi="仿宋_GB2312" w:cs="仿宋_GB2312" w:eastAsia="仿宋_GB2312"/>
                <w:sz w:val="24"/>
              </w:rPr>
              <w:t>热继电器等电气元件应完好</w:t>
            </w:r>
            <w:r>
              <w:rPr>
                <w:rFonts w:ascii="仿宋_GB2312" w:hAnsi="仿宋_GB2312" w:cs="仿宋_GB2312" w:eastAsia="仿宋_GB2312"/>
                <w:sz w:val="24"/>
              </w:rPr>
              <w:t>，</w:t>
            </w:r>
            <w:r>
              <w:rPr>
                <w:rFonts w:ascii="仿宋_GB2312" w:hAnsi="仿宋_GB2312" w:cs="仿宋_GB2312" w:eastAsia="仿宋_GB2312"/>
                <w:sz w:val="24"/>
              </w:rPr>
              <w:t>触点无接触不良：导线接头、连接端子固定可靠。配线及绝缘层无污损、老化、无接触不良及导线裸露现象</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控制柜</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目测检查电控箱应干燥清洁</w:t>
            </w:r>
            <w:r>
              <w:rPr>
                <w:rFonts w:ascii="仿宋_GB2312" w:hAnsi="仿宋_GB2312" w:cs="仿宋_GB2312" w:eastAsia="仿宋_GB2312"/>
                <w:sz w:val="24"/>
              </w:rPr>
              <w:t>，</w:t>
            </w:r>
            <w:r>
              <w:rPr>
                <w:rFonts w:ascii="仿宋_GB2312" w:hAnsi="仿宋_GB2312" w:cs="仿宋_GB2312" w:eastAsia="仿宋_GB2312"/>
                <w:sz w:val="24"/>
              </w:rPr>
              <w:t>柜门应开关灵话</w:t>
            </w:r>
            <w:r>
              <w:rPr>
                <w:rFonts w:ascii="仿宋_GB2312" w:hAnsi="仿宋_GB2312" w:cs="仿宋_GB2312" w:eastAsia="仿宋_GB2312"/>
                <w:sz w:val="21"/>
              </w:rPr>
              <w:t>，</w:t>
            </w:r>
            <w:r>
              <w:rPr>
                <w:rFonts w:ascii="仿宋_GB2312" w:hAnsi="仿宋_GB2312" w:cs="仿宋_GB2312" w:eastAsia="仿宋_GB2312"/>
                <w:sz w:val="24"/>
              </w:rPr>
              <w:t>防护良好</w:t>
            </w:r>
            <w:r>
              <w:rPr>
                <w:rFonts w:ascii="仿宋_GB2312" w:hAnsi="仿宋_GB2312" w:cs="仿宋_GB2312" w:eastAsia="仿宋_GB2312"/>
                <w:sz w:val="24"/>
              </w:rPr>
              <w:t>；</w:t>
            </w:r>
            <w:r>
              <w:rPr>
                <w:rFonts w:ascii="仿宋_GB2312" w:hAnsi="仿宋_GB2312" w:cs="仿宋_GB2312" w:eastAsia="仿宋_GB2312"/>
                <w:sz w:val="24"/>
              </w:rPr>
              <w:t>可编程控制器</w:t>
            </w:r>
            <w:r>
              <w:rPr>
                <w:rFonts w:ascii="仿宋_GB2312" w:hAnsi="仿宋_GB2312" w:cs="仿宋_GB2312" w:eastAsia="仿宋_GB2312"/>
                <w:sz w:val="24"/>
              </w:rPr>
              <w:t>，</w:t>
            </w:r>
            <w:r>
              <w:rPr>
                <w:rFonts w:ascii="仿宋_GB2312" w:hAnsi="仿宋_GB2312" w:cs="仿宋_GB2312" w:eastAsia="仿宋_GB2312"/>
                <w:sz w:val="24"/>
              </w:rPr>
              <w:t>变频器应有良好的通风散热</w:t>
            </w:r>
            <w:r>
              <w:rPr>
                <w:rFonts w:ascii="仿宋_GB2312" w:hAnsi="仿宋_GB2312" w:cs="仿宋_GB2312" w:eastAsia="仿宋_GB2312"/>
                <w:sz w:val="24"/>
              </w:rPr>
              <w:t>；</w:t>
            </w:r>
            <w:r>
              <w:rPr>
                <w:rFonts w:ascii="仿宋_GB2312" w:hAnsi="仿宋_GB2312" w:cs="仿宋_GB2312" w:eastAsia="仿宋_GB2312"/>
                <w:sz w:val="24"/>
              </w:rPr>
              <w:t>电气线路及元器件应无过热、烧焦、融化痕迹、无破损</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电动机保护</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目测检查手动复位的过载保护器应功能有效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接地保护</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目测检查装置应完好、功能有效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电气保护</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目测检查短路、失压、缺相及错相等电气保护应无缺损</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更换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目测检查电气连接及接地应可靠</w:t>
            </w:r>
            <w:r>
              <w:rPr>
                <w:rFonts w:ascii="仿宋_GB2312" w:hAnsi="仿宋_GB2312" w:cs="仿宋_GB2312" w:eastAsia="仿宋_GB2312"/>
                <w:sz w:val="24"/>
              </w:rPr>
              <w:t>，</w:t>
            </w:r>
            <w:r>
              <w:rPr>
                <w:rFonts w:ascii="仿宋_GB2312" w:hAnsi="仿宋_GB2312" w:cs="仿宋_GB2312" w:eastAsia="仿宋_GB2312"/>
                <w:sz w:val="24"/>
              </w:rPr>
              <w:t>导线无老化破损</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580"/>
            <w:vMerge/>
            <w:tcBorders>
              <w:top w:val="none" w:color="000000" w:sz="4"/>
              <w:left w:val="none" w:color="000000" w:sz="4"/>
              <w:bottom w:val="single" w:color="000000" w:sz="4"/>
              <w:right w:val="single" w:color="000000" w:sz="4"/>
            </w:tcBorders>
          </w:tcP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测试动力电路导线和保护接地电路之间施加</w:t>
            </w:r>
            <w:r>
              <w:rPr>
                <w:rFonts w:ascii="仿宋_GB2312" w:hAnsi="仿宋_GB2312" w:cs="仿宋_GB2312" w:eastAsia="仿宋_GB2312"/>
                <w:sz w:val="24"/>
              </w:rPr>
              <w:t>500V(d.c.)时</w:t>
            </w:r>
            <w:r>
              <w:rPr>
                <w:rFonts w:ascii="仿宋_GB2312" w:hAnsi="仿宋_GB2312" w:cs="仿宋_GB2312" w:eastAsia="仿宋_GB2312"/>
                <w:sz w:val="24"/>
              </w:rPr>
              <w:t>，</w:t>
            </w:r>
            <w:r>
              <w:rPr>
                <w:rFonts w:ascii="仿宋_GB2312" w:hAnsi="仿宋_GB2312" w:cs="仿宋_GB2312" w:eastAsia="仿宋_GB2312"/>
                <w:sz w:val="24"/>
              </w:rPr>
              <w:t>绝缘电阻不小于</w:t>
            </w:r>
            <w:r>
              <w:rPr>
                <w:rFonts w:ascii="仿宋_GB2312" w:hAnsi="仿宋_GB2312" w:cs="仿宋_GB2312" w:eastAsia="仿宋_GB2312"/>
                <w:sz w:val="24"/>
              </w:rPr>
              <w:t>1MΩ</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操作装置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目测检查操作装置应整洁，按钮及指示灯应无缺损</w:t>
            </w:r>
            <w:r>
              <w:rPr>
                <w:rFonts w:ascii="仿宋_GB2312" w:hAnsi="仿宋_GB2312" w:cs="仿宋_GB2312" w:eastAsia="仿宋_GB2312"/>
                <w:sz w:val="24"/>
              </w:rPr>
              <w:t>，</w:t>
            </w:r>
            <w:r>
              <w:rPr>
                <w:rFonts w:ascii="仿宋_GB2312" w:hAnsi="仿宋_GB2312" w:cs="仿宋_GB2312" w:eastAsia="仿宋_GB2312"/>
                <w:sz w:val="24"/>
              </w:rPr>
              <w:t>指示信号和开关应正常，应无失灵失控现象</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维护</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紧急停止</w:t>
            </w:r>
            <w:r>
              <w:rPr>
                <w:rFonts w:ascii="仿宋_GB2312" w:hAnsi="仿宋_GB2312" w:cs="仿宋_GB2312" w:eastAsia="仿宋_GB2312"/>
                <w:sz w:val="24"/>
              </w:rPr>
              <w:t xml:space="preserve">  </w:t>
            </w:r>
            <w:r>
              <w:rPr>
                <w:rFonts w:ascii="仿宋_GB2312" w:hAnsi="仿宋_GB2312" w:cs="仿宋_GB2312" w:eastAsia="仿宋_GB2312"/>
                <w:sz w:val="24"/>
              </w:rPr>
              <w:t>开关</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触动紧急停止开关</w:t>
            </w:r>
            <w:r>
              <w:rPr>
                <w:rFonts w:ascii="仿宋_GB2312" w:hAnsi="仿宋_GB2312" w:cs="仿宋_GB2312" w:eastAsia="仿宋_GB2312"/>
                <w:sz w:val="24"/>
              </w:rPr>
              <w:t>，</w:t>
            </w:r>
            <w:r>
              <w:rPr>
                <w:rFonts w:ascii="仿宋_GB2312" w:hAnsi="仿宋_GB2312" w:cs="仿宋_GB2312" w:eastAsia="仿宋_GB2312"/>
                <w:sz w:val="24"/>
              </w:rPr>
              <w:t>设备应立即停机。紧急停止开关不应自动复位</w:t>
            </w:r>
            <w:r>
              <w:rPr>
                <w:rFonts w:ascii="仿宋_GB2312" w:hAnsi="仿宋_GB2312" w:cs="仿宋_GB2312" w:eastAsia="仿宋_GB2312"/>
                <w:sz w:val="24"/>
              </w:rPr>
              <w:t>，</w:t>
            </w:r>
            <w:r>
              <w:rPr>
                <w:rFonts w:ascii="仿宋_GB2312" w:hAnsi="仿宋_GB2312" w:cs="仿宋_GB2312" w:eastAsia="仿宋_GB2312"/>
                <w:sz w:val="24"/>
              </w:rPr>
              <w:t>手动复位后，重新启动设备应能恢复正常运行</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防止超限</w:t>
            </w:r>
            <w:r>
              <w:rPr>
                <w:rFonts w:ascii="仿宋_GB2312" w:hAnsi="仿宋_GB2312" w:cs="仿宋_GB2312" w:eastAsia="仿宋_GB2312"/>
                <w:sz w:val="24"/>
              </w:rPr>
              <w:t xml:space="preserve">   </w:t>
            </w:r>
            <w:r>
              <w:rPr>
                <w:rFonts w:ascii="仿宋_GB2312" w:hAnsi="仿宋_GB2312" w:cs="仿宋_GB2312" w:eastAsia="仿宋_GB2312"/>
                <w:sz w:val="24"/>
              </w:rPr>
              <w:t>运行装置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通过功能试验模拟操作</w:t>
            </w:r>
            <w:r>
              <w:rPr>
                <w:rFonts w:ascii="仿宋_GB2312" w:hAnsi="仿宋_GB2312" w:cs="仿宋_GB2312" w:eastAsia="仿宋_GB2312"/>
                <w:sz w:val="24"/>
              </w:rPr>
              <w:t>,在垂直方向上查看限位开关和超程限位开关</w:t>
            </w:r>
            <w:r>
              <w:rPr>
                <w:rFonts w:ascii="仿宋_GB2312" w:hAnsi="仿宋_GB2312" w:cs="仿宋_GB2312" w:eastAsia="仿宋_GB2312"/>
                <w:sz w:val="24"/>
              </w:rPr>
              <w:t>，</w:t>
            </w:r>
            <w:r>
              <w:rPr>
                <w:rFonts w:ascii="仿宋_GB2312" w:hAnsi="仿宋_GB2312" w:cs="仿宋_GB2312" w:eastAsia="仿宋_GB2312"/>
                <w:sz w:val="24"/>
              </w:rPr>
              <w:t>水平方向上查看限位开关和超程限位开关</w:t>
            </w:r>
            <w:r>
              <w:rPr>
                <w:rFonts w:ascii="仿宋_GB2312" w:hAnsi="仿宋_GB2312" w:cs="仿宋_GB2312" w:eastAsia="仿宋_GB2312"/>
                <w:sz w:val="24"/>
              </w:rPr>
              <w:t>，</w:t>
            </w:r>
            <w:r>
              <w:rPr>
                <w:rFonts w:ascii="仿宋_GB2312" w:hAnsi="仿宋_GB2312" w:cs="仿宋_GB2312" w:eastAsia="仿宋_GB2312"/>
                <w:sz w:val="24"/>
              </w:rPr>
              <w:t>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3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续表</w:t>
            </w:r>
            <w:r>
              <w:rPr>
                <w:rFonts w:ascii="仿宋_GB2312" w:hAnsi="仿宋_GB2312" w:cs="仿宋_GB2312" w:eastAsia="仿宋_GB2312"/>
                <w:sz w:val="24"/>
                <w:b/>
              </w:rPr>
              <w:t>2</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5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检查项目</w:t>
            </w:r>
          </w:p>
        </w:tc>
        <w:tc>
          <w:tcPr>
            <w:tcW w:type="dxa" w:w="210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检查方法、内容及要求</w:t>
            </w:r>
          </w:p>
        </w:tc>
        <w:tc>
          <w:tcPr>
            <w:tcW w:type="dxa" w:w="8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处置方式</w:t>
            </w:r>
          </w:p>
        </w:tc>
        <w:tc>
          <w:tcPr>
            <w:tcW w:type="dxa" w:w="229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周期</w:t>
            </w:r>
          </w:p>
        </w:tc>
        <w:tc>
          <w:tcPr>
            <w:tcW w:type="dxa" w:w="6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备注</w:t>
            </w:r>
          </w:p>
        </w:tc>
      </w:tr>
      <w:tr>
        <w:tc>
          <w:tcPr>
            <w:tcW w:type="dxa" w:w="812"/>
            <w:vMerge/>
            <w:tcBorders>
              <w:top w:val="none" w:color="000000" w:sz="4"/>
              <w:left w:val="single" w:color="000000" w:sz="4"/>
              <w:bottom w:val="single" w:color="000000" w:sz="4"/>
              <w:right w:val="single" w:color="000000" w:sz="4"/>
            </w:tcBorders>
          </w:tcPr>
          <w:p/>
        </w:tc>
        <w:tc>
          <w:tcPr>
            <w:tcW w:type="dxa" w:w="1580"/>
            <w:vMerge/>
            <w:tcBorders>
              <w:top w:val="none" w:color="000000" w:sz="4"/>
              <w:left w:val="none" w:color="000000" w:sz="4"/>
              <w:bottom w:val="single" w:color="000000" w:sz="4"/>
              <w:right w:val="single" w:color="000000" w:sz="4"/>
            </w:tcBorders>
          </w:tcPr>
          <w:p/>
        </w:tc>
        <w:tc>
          <w:tcPr>
            <w:tcW w:type="dxa" w:w="2102"/>
            <w:vMerge/>
            <w:tcBorders>
              <w:top w:val="none" w:color="000000" w:sz="4"/>
              <w:left w:val="none" w:color="000000" w:sz="4"/>
              <w:bottom w:val="single" w:color="000000" w:sz="4"/>
              <w:right w:val="single" w:color="000000" w:sz="4"/>
            </w:tcBorders>
          </w:tcPr>
          <w:p/>
        </w:tc>
        <w:tc>
          <w:tcPr>
            <w:tcW w:type="dxa" w:w="855"/>
            <w:vMerge/>
            <w:tcBorders>
              <w:top w:val="none" w:color="000000" w:sz="4"/>
              <w:left w:val="none" w:color="000000" w:sz="4"/>
              <w:bottom w:val="single" w:color="000000" w:sz="4"/>
              <w:right w:val="single" w:color="000000" w:sz="4"/>
            </w:tcBorders>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半月检</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月检</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季检</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年检</w:t>
            </w:r>
          </w:p>
        </w:tc>
        <w:tc>
          <w:tcPr>
            <w:tcW w:type="dxa" w:w="667"/>
            <w:vMerge/>
            <w:tcBorders>
              <w:top w:val="none" w:color="000000" w:sz="4"/>
              <w:left w:val="none" w:color="000000" w:sz="4"/>
              <w:bottom w:val="single" w:color="000000" w:sz="4"/>
              <w:right w:val="single" w:color="000000" w:sz="4"/>
            </w:tcBorders>
          </w:tc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both"/>
            </w:pPr>
            <w:r>
              <w:rPr>
                <w:rFonts w:ascii="仿宋_GB2312" w:hAnsi="仿宋_GB2312" w:cs="仿宋_GB2312" w:eastAsia="仿宋_GB2312"/>
                <w:sz w:val="24"/>
              </w:rPr>
              <w:t>汽车长宽、高限制装置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通过功能试验模拟超过适停汽车尺寸时</w:t>
            </w:r>
            <w:r>
              <w:rPr>
                <w:rFonts w:ascii="仿宋_GB2312" w:hAnsi="仿宋_GB2312" w:cs="仿宋_GB2312" w:eastAsia="仿宋_GB2312"/>
                <w:sz w:val="24"/>
              </w:rPr>
              <w:t>，</w:t>
            </w:r>
            <w:r>
              <w:rPr>
                <w:rFonts w:ascii="仿宋_GB2312" w:hAnsi="仿宋_GB2312" w:cs="仿宋_GB2312" w:eastAsia="仿宋_GB2312"/>
                <w:sz w:val="24"/>
              </w:rPr>
              <w:t>设备不应动作，并应报警</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阻车装置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目测检查阻车装置应无缺损</w:t>
            </w:r>
            <w:r>
              <w:rPr>
                <w:rFonts w:ascii="仿宋_GB2312" w:hAnsi="仿宋_GB2312" w:cs="仿宋_GB2312" w:eastAsia="仿宋_GB2312"/>
                <w:sz w:val="24"/>
              </w:rPr>
              <w:t>，</w:t>
            </w:r>
            <w:r>
              <w:rPr>
                <w:rFonts w:ascii="仿宋_GB2312" w:hAnsi="仿宋_GB2312" w:cs="仿宋_GB2312" w:eastAsia="仿宋_GB2312"/>
                <w:sz w:val="24"/>
              </w:rPr>
              <w:t>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人车误入检测装置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通过功能试验模拟人车设误入状态，目测人车误入检测装置应可靠有效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汽车位置检测装置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通过功能试验，检查汽车未停在搬运器载车板上的正确位置时</w:t>
            </w:r>
            <w:r>
              <w:rPr>
                <w:rFonts w:ascii="仿宋_GB2312" w:hAnsi="仿宋_GB2312" w:cs="仿宋_GB2312" w:eastAsia="仿宋_GB2312"/>
                <w:sz w:val="24"/>
              </w:rPr>
              <w:t>，</w:t>
            </w:r>
            <w:r>
              <w:rPr>
                <w:rFonts w:ascii="仿宋_GB2312" w:hAnsi="仿宋_GB2312" w:cs="仿宋_GB2312" w:eastAsia="仿宋_GB2312"/>
                <w:sz w:val="24"/>
              </w:rPr>
              <w:t>停车设备不应运行</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出入口处栅栏门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如设有时</w:t>
            </w:r>
            <w:r>
              <w:rPr>
                <w:rFonts w:ascii="仿宋_GB2312" w:hAnsi="仿宋_GB2312" w:cs="仿宋_GB2312" w:eastAsia="仿宋_GB2312"/>
                <w:sz w:val="24"/>
              </w:rPr>
              <w:t>，</w:t>
            </w:r>
            <w:r>
              <w:rPr>
                <w:rFonts w:ascii="仿宋_GB2312" w:hAnsi="仿宋_GB2312" w:cs="仿宋_GB2312" w:eastAsia="仿宋_GB2312"/>
                <w:sz w:val="24"/>
              </w:rPr>
              <w:t>目测检查应运行正常</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出入口门（栅栏门）联锁保护装置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如出入口设有门或围栏时，通过功能试验模拟动作</w:t>
            </w:r>
            <w:r>
              <w:rPr>
                <w:rFonts w:ascii="仿宋_GB2312" w:hAnsi="仿宋_GB2312" w:cs="仿宋_GB2312" w:eastAsia="仿宋_GB2312"/>
                <w:sz w:val="24"/>
              </w:rPr>
              <w:t>，</w:t>
            </w:r>
            <w:r>
              <w:rPr>
                <w:rFonts w:ascii="仿宋_GB2312" w:hAnsi="仿宋_GB2312" w:cs="仿宋_GB2312" w:eastAsia="仿宋_GB2312"/>
                <w:sz w:val="24"/>
              </w:rPr>
              <w:t>联锁保护装置功能应可靠有效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自动门防夹装置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通过功能试验，检查自动门防夹装置应可靠有效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防重叠自动检测装置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通过功能试验，检查防重叠落检测装置应可靠有效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防坠落装置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通过功能试验，检查防坠落装置应可靠有效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警示装置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w:t>
            </w:r>
            <w:r>
              <w:rPr>
                <w:rFonts w:ascii="仿宋_GB2312" w:hAnsi="仿宋_GB2312" w:cs="仿宋_GB2312" w:eastAsia="仿宋_GB2312"/>
                <w:sz w:val="24"/>
              </w:rPr>
              <w:t>，</w:t>
            </w:r>
            <w:r>
              <w:rPr>
                <w:rFonts w:ascii="仿宋_GB2312" w:hAnsi="仿宋_GB2312" w:cs="仿宋_GB2312" w:eastAsia="仿宋_GB2312"/>
                <w:sz w:val="24"/>
              </w:rPr>
              <w:t>检查警示装置应能发出声或光报警信号</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轨道底部</w:t>
            </w:r>
            <w:r>
              <w:rPr>
                <w:rFonts w:ascii="仿宋_GB2312" w:hAnsi="仿宋_GB2312" w:cs="仿宋_GB2312" w:eastAsia="仿宋_GB2312"/>
                <w:sz w:val="24"/>
              </w:rPr>
              <w:t xml:space="preserve">   </w:t>
            </w:r>
            <w:r>
              <w:rPr>
                <w:rFonts w:ascii="仿宋_GB2312" w:hAnsi="仿宋_GB2312" w:cs="仿宋_GB2312" w:eastAsia="仿宋_GB2312"/>
                <w:sz w:val="24"/>
              </w:rPr>
              <w:t>止挡装置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目测检查轨道端部止挡装置应无变形</w:t>
            </w:r>
            <w:r>
              <w:rPr>
                <w:rFonts w:ascii="仿宋_GB2312" w:hAnsi="仿宋_GB2312" w:cs="仿宋_GB2312" w:eastAsia="仿宋_GB2312"/>
                <w:sz w:val="24"/>
              </w:rPr>
              <w:t>、</w:t>
            </w:r>
            <w:r>
              <w:rPr>
                <w:rFonts w:ascii="仿宋_GB2312" w:hAnsi="仿宋_GB2312" w:cs="仿宋_GB2312" w:eastAsia="仿宋_GB2312"/>
                <w:sz w:val="24"/>
              </w:rPr>
              <w:t>缺损</w:t>
            </w:r>
            <w:r>
              <w:rPr>
                <w:rFonts w:ascii="仿宋_GB2312" w:hAnsi="仿宋_GB2312" w:cs="仿宋_GB2312" w:eastAsia="仿宋_GB2312"/>
                <w:sz w:val="24"/>
              </w:rPr>
              <w:t>、</w:t>
            </w:r>
            <w:r>
              <w:rPr>
                <w:rFonts w:ascii="仿宋_GB2312" w:hAnsi="仿宋_GB2312" w:cs="仿宋_GB2312" w:eastAsia="仿宋_GB2312"/>
                <w:sz w:val="24"/>
              </w:rPr>
              <w:t>开焊</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缓冲器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目测检查缓冲器应无缺损、无松动</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松绳</w:t>
            </w:r>
            <w:r>
              <w:rPr>
                <w:rFonts w:ascii="仿宋_GB2312" w:hAnsi="仿宋_GB2312" w:cs="仿宋_GB2312" w:eastAsia="仿宋_GB2312"/>
                <w:sz w:val="24"/>
              </w:rPr>
              <w:t>(链)检测装置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通过功能试验检查松</w:t>
            </w:r>
            <w:r>
              <w:rPr>
                <w:rFonts w:ascii="仿宋_GB2312" w:hAnsi="仿宋_GB2312" w:cs="仿宋_GB2312" w:eastAsia="仿宋_GB2312"/>
                <w:sz w:val="24"/>
              </w:rPr>
              <w:t>(断)绳(链)检测装置应可靠有效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运转限制装置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通过功能试验，检查转换区里有无人员</w:t>
            </w:r>
            <w:r>
              <w:rPr>
                <w:rFonts w:ascii="仿宋_GB2312" w:hAnsi="仿宋_GB2312" w:cs="仿宋_GB2312" w:eastAsia="仿宋_GB2312"/>
                <w:sz w:val="24"/>
              </w:rPr>
              <w:t>出入</w:t>
            </w:r>
            <w:r>
              <w:rPr>
                <w:rFonts w:ascii="仿宋_GB2312" w:hAnsi="仿宋_GB2312" w:cs="仿宋_GB2312" w:eastAsia="仿宋_GB2312"/>
                <w:sz w:val="24"/>
              </w:rPr>
              <w:t>的光电装置应有效</w:t>
            </w:r>
            <w:r>
              <w:rPr>
                <w:rFonts w:ascii="仿宋_GB2312" w:hAnsi="仿宋_GB2312" w:cs="仿宋_GB2312" w:eastAsia="仿宋_GB2312"/>
                <w:sz w:val="24"/>
              </w:rPr>
              <w:t>(有管理人员确认安全时</w:t>
            </w:r>
            <w:r>
              <w:rPr>
                <w:rFonts w:ascii="仿宋_GB2312" w:hAnsi="仿宋_GB2312" w:cs="仿宋_GB2312" w:eastAsia="仿宋_GB2312"/>
                <w:sz w:val="24"/>
              </w:rPr>
              <w:t>，</w:t>
            </w:r>
            <w:r>
              <w:rPr>
                <w:rFonts w:ascii="仿宋_GB2312" w:hAnsi="仿宋_GB2312" w:cs="仿宋_GB2312" w:eastAsia="仿宋_GB2312"/>
                <w:sz w:val="24"/>
              </w:rPr>
              <w:t>可不设此装置</w:t>
            </w:r>
            <w:r>
              <w:rPr>
                <w:rFonts w:ascii="仿宋_GB2312" w:hAnsi="仿宋_GB2312" w:cs="仿宋_GB2312" w:eastAsia="仿宋_GB2312"/>
                <w:sz w:val="24"/>
              </w:rPr>
              <w:t>)</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控制连锁功能</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通过功能试验，检查汽车存取由几个控制点启动时</w:t>
            </w:r>
            <w:r>
              <w:rPr>
                <w:rFonts w:ascii="仿宋_GB2312" w:hAnsi="仿宋_GB2312" w:cs="仿宋_GB2312" w:eastAsia="仿宋_GB2312"/>
                <w:sz w:val="24"/>
              </w:rPr>
              <w:t>，</w:t>
            </w:r>
            <w:r>
              <w:rPr>
                <w:rFonts w:ascii="仿宋_GB2312" w:hAnsi="仿宋_GB2312" w:cs="仿宋_GB2312" w:eastAsia="仿宋_GB2312"/>
                <w:sz w:val="24"/>
              </w:rPr>
              <w:t>联锁功能应正常</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超载限制器</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通过功能试验，检查超载限制器应可靠有效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载车板锁定装置</w:t>
            </w:r>
          </w:p>
        </w:tc>
        <w:tc>
          <w:tcPr>
            <w:tcW w:type="dxa" w:w="2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通过功能试验，检查载车板锁定装置应可靠有效</w:t>
            </w:r>
          </w:p>
        </w:tc>
        <w:tc>
          <w:tcPr>
            <w:tcW w:type="dxa" w:w="8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维修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5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50"/>
              <w:jc w:val="center"/>
            </w:pPr>
            <w:r>
              <w:rPr>
                <w:rFonts w:ascii="仿宋_GB2312" w:hAnsi="仿宋_GB2312" w:cs="仿宋_GB2312" w:eastAsia="仿宋_GB2312"/>
                <w:sz w:val="24"/>
              </w:rPr>
              <w:t>√</w:t>
            </w:r>
          </w:p>
        </w:tc>
        <w:tc>
          <w:tcPr>
            <w:tcW w:type="dxa" w:w="6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left"/>
      </w:pPr>
      <w:r>
        <w:rPr>
          <w:rFonts w:ascii="仿宋_GB2312" w:hAnsi="仿宋_GB2312" w:cs="仿宋_GB2312" w:eastAsia="仿宋_GB2312"/>
          <w:sz w:val="24"/>
        </w:rPr>
        <w:t>2、其他要求</w:t>
      </w:r>
    </w:p>
    <w:p>
      <w:pPr>
        <w:pStyle w:val="null3"/>
        <w:ind w:firstLine="482"/>
        <w:jc w:val="left"/>
      </w:pPr>
      <w:r>
        <w:rPr>
          <w:rFonts w:ascii="仿宋_GB2312" w:hAnsi="仿宋_GB2312" w:cs="仿宋_GB2312" w:eastAsia="仿宋_GB2312"/>
          <w:sz w:val="24"/>
          <w:b/>
        </w:rPr>
        <w:t>(评审项1)</w:t>
      </w:r>
      <w:r>
        <w:rPr>
          <w:rFonts w:ascii="仿宋_GB2312" w:hAnsi="仿宋_GB2312" w:cs="仿宋_GB2312" w:eastAsia="仿宋_GB2312"/>
          <w:sz w:val="24"/>
        </w:rPr>
        <w:t>（</w:t>
      </w:r>
      <w:r>
        <w:rPr>
          <w:rFonts w:ascii="仿宋_GB2312" w:hAnsi="仿宋_GB2312" w:cs="仿宋_GB2312" w:eastAsia="仿宋_GB2312"/>
          <w:sz w:val="24"/>
        </w:rPr>
        <w:t>1）成交供应商工作人员在采购人工作场所必须严格遵守采购人各项规章制度，不得带与工作无关的人员进入服务区。</w:t>
      </w:r>
    </w:p>
    <w:p>
      <w:pPr>
        <w:pStyle w:val="null3"/>
        <w:ind w:firstLine="482"/>
        <w:jc w:val="left"/>
      </w:pPr>
      <w:r>
        <w:rPr>
          <w:rFonts w:ascii="仿宋_GB2312" w:hAnsi="仿宋_GB2312" w:cs="仿宋_GB2312" w:eastAsia="仿宋_GB2312"/>
          <w:sz w:val="24"/>
          <w:b/>
        </w:rPr>
        <w:t>(评审项2)</w:t>
      </w:r>
      <w:r>
        <w:rPr>
          <w:rFonts w:ascii="仿宋_GB2312" w:hAnsi="仿宋_GB2312" w:cs="仿宋_GB2312" w:eastAsia="仿宋_GB2312"/>
          <w:sz w:val="24"/>
        </w:rPr>
        <w:t>（</w:t>
      </w:r>
      <w:r>
        <w:rPr>
          <w:rFonts w:ascii="仿宋_GB2312" w:hAnsi="仿宋_GB2312" w:cs="仿宋_GB2312" w:eastAsia="仿宋_GB2312"/>
          <w:sz w:val="24"/>
        </w:rPr>
        <w:t>2）成交供应商每次巡检、维保前应提前联系采购人以确认具体的维保时间；每次维保时应当接受采购人的监督，必要时取得采购人的书面同意；每次维保后应于当日向采购人提交维修保养记录表，并由采购人现场负责人签字确认后，双方各持一份备案存档。</w:t>
      </w:r>
    </w:p>
    <w:p>
      <w:pPr>
        <w:pStyle w:val="null3"/>
        <w:ind w:firstLine="482"/>
        <w:jc w:val="left"/>
      </w:pPr>
      <w:r>
        <w:rPr>
          <w:rFonts w:ascii="仿宋_GB2312" w:hAnsi="仿宋_GB2312" w:cs="仿宋_GB2312" w:eastAsia="仿宋_GB2312"/>
          <w:sz w:val="24"/>
          <w:b/>
        </w:rPr>
        <w:t>(评审项3)</w:t>
      </w:r>
      <w:r>
        <w:rPr>
          <w:rFonts w:ascii="仿宋_GB2312" w:hAnsi="仿宋_GB2312" w:cs="仿宋_GB2312" w:eastAsia="仿宋_GB2312"/>
          <w:sz w:val="24"/>
        </w:rPr>
        <w:t>（</w:t>
      </w:r>
      <w:r>
        <w:rPr>
          <w:rFonts w:ascii="仿宋_GB2312" w:hAnsi="仿宋_GB2312" w:cs="仿宋_GB2312" w:eastAsia="仿宋_GB2312"/>
          <w:sz w:val="24"/>
        </w:rPr>
        <w:t>3）成交供应商为采购人提供服务时，应提供预防性、主动性的维保服务，能预先主动的发现设备故障风险，并及时处置消除故障隐患，成交供应商能应采购人要求提供上述要求服务的</w:t>
      </w:r>
      <w:r>
        <w:rPr>
          <w:rFonts w:ascii="仿宋_GB2312" w:hAnsi="仿宋_GB2312" w:cs="仿宋_GB2312" w:eastAsia="仿宋_GB2312"/>
          <w:sz w:val="24"/>
        </w:rPr>
        <w:t>具体</w:t>
      </w:r>
      <w:r>
        <w:rPr>
          <w:rFonts w:ascii="仿宋_GB2312" w:hAnsi="仿宋_GB2312" w:cs="仿宋_GB2312" w:eastAsia="仿宋_GB2312"/>
          <w:sz w:val="24"/>
        </w:rPr>
        <w:t>化服务方案和制度保障文件。成交供应商如发觉设备存在隐患，应书面告知采购人，及时答复采购人提出的咨询，提出建议并采取行动协助采购人解决问题。</w:t>
      </w:r>
    </w:p>
    <w:p>
      <w:pPr>
        <w:pStyle w:val="null3"/>
        <w:ind w:firstLine="482"/>
        <w:jc w:val="left"/>
      </w:pPr>
      <w:r>
        <w:rPr>
          <w:rFonts w:ascii="仿宋_GB2312" w:hAnsi="仿宋_GB2312" w:cs="仿宋_GB2312" w:eastAsia="仿宋_GB2312"/>
          <w:sz w:val="24"/>
          <w:b/>
        </w:rPr>
        <w:t>(评审项4)</w:t>
      </w:r>
      <w:r>
        <w:rPr>
          <w:rFonts w:ascii="仿宋_GB2312" w:hAnsi="仿宋_GB2312" w:cs="仿宋_GB2312" w:eastAsia="仿宋_GB2312"/>
          <w:sz w:val="24"/>
        </w:rPr>
        <w:t>（</w:t>
      </w:r>
      <w:r>
        <w:rPr>
          <w:rFonts w:ascii="仿宋_GB2312" w:hAnsi="仿宋_GB2312" w:cs="仿宋_GB2312" w:eastAsia="仿宋_GB2312"/>
          <w:sz w:val="24"/>
        </w:rPr>
        <w:t>4）每次故障维修后，成交供应商应向采购人提供故障处理报告，该报告应详细记录故障发生原因、故障排除的过程和结果、因故障导致立体停车场使用中断时间、排除故障的措施、保修期等。</w:t>
      </w:r>
    </w:p>
    <w:p>
      <w:pPr>
        <w:pStyle w:val="null3"/>
        <w:ind w:firstLine="482"/>
        <w:jc w:val="left"/>
      </w:pPr>
      <w:r>
        <w:rPr>
          <w:rFonts w:ascii="仿宋_GB2312" w:hAnsi="仿宋_GB2312" w:cs="仿宋_GB2312" w:eastAsia="仿宋_GB2312"/>
          <w:sz w:val="24"/>
          <w:b/>
        </w:rPr>
        <w:t>(评审项5)</w:t>
      </w:r>
      <w:r>
        <w:rPr>
          <w:rFonts w:ascii="仿宋_GB2312" w:hAnsi="仿宋_GB2312" w:cs="仿宋_GB2312" w:eastAsia="仿宋_GB2312"/>
          <w:sz w:val="24"/>
        </w:rPr>
        <w:t>（</w:t>
      </w:r>
      <w:r>
        <w:rPr>
          <w:rFonts w:ascii="仿宋_GB2312" w:hAnsi="仿宋_GB2312" w:cs="仿宋_GB2312" w:eastAsia="仿宋_GB2312"/>
          <w:sz w:val="24"/>
        </w:rPr>
        <w:t>5）本次维保服务，未经采购人书面同意，成交供应商不得转委托第三人。</w:t>
      </w:r>
    </w:p>
    <w:p>
      <w:pPr>
        <w:pStyle w:val="null3"/>
        <w:ind w:firstLine="482"/>
        <w:jc w:val="left"/>
      </w:pPr>
      <w:r>
        <w:rPr>
          <w:rFonts w:ascii="仿宋_GB2312" w:hAnsi="仿宋_GB2312" w:cs="仿宋_GB2312" w:eastAsia="仿宋_GB2312"/>
          <w:sz w:val="24"/>
          <w:b/>
        </w:rPr>
        <w:t>(评审项6)</w:t>
      </w:r>
      <w:r>
        <w:rPr>
          <w:rFonts w:ascii="仿宋_GB2312" w:hAnsi="仿宋_GB2312" w:cs="仿宋_GB2312" w:eastAsia="仿宋_GB2312"/>
          <w:sz w:val="24"/>
        </w:rPr>
        <w:t>（</w:t>
      </w:r>
      <w:r>
        <w:rPr>
          <w:rFonts w:ascii="仿宋_GB2312" w:hAnsi="仿宋_GB2312" w:cs="仿宋_GB2312" w:eastAsia="仿宋_GB2312"/>
          <w:sz w:val="24"/>
        </w:rPr>
        <w:t>6）成交供应商应当制定操作的规程，并严格执行操作规程，以确保服务达到本项目目的并防范安全事故及环境污染。成交供应商操作规程应当报采购人备案。</w:t>
      </w:r>
    </w:p>
    <w:p>
      <w:pPr>
        <w:pStyle w:val="null3"/>
        <w:ind w:firstLine="482"/>
        <w:jc w:val="left"/>
      </w:pPr>
      <w:r>
        <w:rPr>
          <w:rFonts w:ascii="仿宋_GB2312" w:hAnsi="仿宋_GB2312" w:cs="仿宋_GB2312" w:eastAsia="仿宋_GB2312"/>
          <w:sz w:val="24"/>
          <w:b/>
        </w:rPr>
        <w:t>(评审项7)</w:t>
      </w:r>
      <w:r>
        <w:rPr>
          <w:rFonts w:ascii="仿宋_GB2312" w:hAnsi="仿宋_GB2312" w:cs="仿宋_GB2312" w:eastAsia="仿宋_GB2312"/>
          <w:sz w:val="24"/>
        </w:rPr>
        <w:t>（</w:t>
      </w:r>
      <w:r>
        <w:rPr>
          <w:rFonts w:ascii="仿宋_GB2312" w:hAnsi="仿宋_GB2312" w:cs="仿宋_GB2312" w:eastAsia="仿宋_GB2312"/>
          <w:sz w:val="24"/>
        </w:rPr>
        <w:t>7）成交供应商在维保过程中发生的一切事故均由成交供应商负责。</w:t>
      </w:r>
    </w:p>
    <w:p>
      <w:pPr>
        <w:pStyle w:val="null3"/>
        <w:ind w:firstLine="482"/>
        <w:jc w:val="left"/>
      </w:pPr>
      <w:r>
        <w:rPr>
          <w:rFonts w:ascii="仿宋_GB2312" w:hAnsi="仿宋_GB2312" w:cs="仿宋_GB2312" w:eastAsia="仿宋_GB2312"/>
          <w:sz w:val="24"/>
          <w:b/>
        </w:rPr>
        <w:t>(评审项8)</w:t>
      </w:r>
      <w:r>
        <w:rPr>
          <w:rFonts w:ascii="仿宋_GB2312" w:hAnsi="仿宋_GB2312" w:cs="仿宋_GB2312" w:eastAsia="仿宋_GB2312"/>
          <w:sz w:val="24"/>
        </w:rPr>
        <w:t>（</w:t>
      </w:r>
      <w:r>
        <w:rPr>
          <w:rFonts w:ascii="仿宋_GB2312" w:hAnsi="仿宋_GB2312" w:cs="仿宋_GB2312" w:eastAsia="仿宋_GB2312"/>
          <w:sz w:val="24"/>
        </w:rPr>
        <w:t>8）成交供应商应当认真收集并妥善保管履约过程中所使用的和产生的一切资料，并在采购人要求时或者合同解除、终止后3日内向采购人提供。</w:t>
      </w:r>
    </w:p>
    <w:p>
      <w:pPr>
        <w:pStyle w:val="null3"/>
        <w:ind w:firstLine="482"/>
        <w:jc w:val="left"/>
      </w:pPr>
      <w:r>
        <w:rPr>
          <w:rFonts w:ascii="仿宋_GB2312" w:hAnsi="仿宋_GB2312" w:cs="仿宋_GB2312" w:eastAsia="仿宋_GB2312"/>
          <w:sz w:val="24"/>
          <w:b/>
        </w:rPr>
        <w:t>(评审项9)</w:t>
      </w:r>
      <w:r>
        <w:rPr>
          <w:rFonts w:ascii="仿宋_GB2312" w:hAnsi="仿宋_GB2312" w:cs="仿宋_GB2312" w:eastAsia="仿宋_GB2312"/>
          <w:sz w:val="24"/>
        </w:rPr>
        <w:t>（</w:t>
      </w:r>
      <w:r>
        <w:rPr>
          <w:rFonts w:ascii="仿宋_GB2312" w:hAnsi="仿宋_GB2312" w:cs="仿宋_GB2312" w:eastAsia="仿宋_GB2312"/>
          <w:sz w:val="24"/>
        </w:rPr>
        <w:t>9）维保期间，如出现配件更换情况，配件金额≤1000元的，由成交供应商自行负责，配件金额超过1000元时，经采购人同意后进行更换，成交供应商须提供正规购买发票后，由采购人支付该配件购买金额。</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u w:val="single"/>
        </w:rPr>
        <w:t>（</w:t>
      </w:r>
      <w:r>
        <w:rPr>
          <w:rFonts w:ascii="仿宋_GB2312" w:hAnsi="仿宋_GB2312" w:cs="仿宋_GB2312" w:eastAsia="仿宋_GB2312"/>
          <w:sz w:val="24"/>
          <w:u w:val="single"/>
        </w:rPr>
        <w:t>10）为保证立体停车场在维保过程中更换的配件与原设备的兼容性，供应商须承诺：成交后，在维保期间内所更换的配件须是</w:t>
      </w:r>
      <w:r>
        <w:rPr>
          <w:rFonts w:ascii="仿宋_GB2312" w:hAnsi="仿宋_GB2312" w:cs="仿宋_GB2312" w:eastAsia="仿宋_GB2312"/>
          <w:sz w:val="24"/>
          <w:u w:val="single"/>
        </w:rPr>
        <w:t>原厂原装</w:t>
      </w:r>
      <w:r>
        <w:rPr>
          <w:rFonts w:ascii="仿宋_GB2312" w:hAnsi="仿宋_GB2312" w:cs="仿宋_GB2312" w:eastAsia="仿宋_GB2312"/>
          <w:sz w:val="24"/>
          <w:u w:val="single"/>
        </w:rPr>
        <w:t>或</w:t>
      </w:r>
      <w:r>
        <w:rPr>
          <w:rFonts w:ascii="仿宋_GB2312" w:hAnsi="仿宋_GB2312" w:cs="仿宋_GB2312" w:eastAsia="仿宋_GB2312"/>
          <w:sz w:val="24"/>
          <w:u w:val="single"/>
        </w:rPr>
        <w:t>适配的</w:t>
      </w:r>
      <w:r>
        <w:rPr>
          <w:rFonts w:ascii="仿宋_GB2312" w:hAnsi="仿宋_GB2312" w:cs="仿宋_GB2312" w:eastAsia="仿宋_GB2312"/>
          <w:sz w:val="24"/>
          <w:u w:val="single"/>
        </w:rPr>
        <w:t>配件</w:t>
      </w:r>
      <w:r>
        <w:rPr>
          <w:rFonts w:ascii="仿宋_GB2312" w:hAnsi="仿宋_GB2312" w:cs="仿宋_GB2312" w:eastAsia="仿宋_GB2312"/>
          <w:sz w:val="24"/>
          <w:u w:val="single"/>
        </w:rPr>
        <w:t>，应确保所更换的配件符合原设备的设计要求、安全标准及法律法规的规定。</w:t>
      </w:r>
      <w:r>
        <w:rPr>
          <w:rFonts w:ascii="仿宋_GB2312" w:hAnsi="仿宋_GB2312" w:cs="仿宋_GB2312" w:eastAsia="仿宋_GB2312"/>
          <w:sz w:val="24"/>
          <w:u w:val="single"/>
        </w:rPr>
        <w:t>在配件安装前，采购人有权要求供应商提供购买发票原件或其他相关证明进行核验，经采购人确认无误后方可安装使用。</w:t>
      </w:r>
      <w:r>
        <w:rPr>
          <w:rFonts w:ascii="仿宋_GB2312" w:hAnsi="仿宋_GB2312" w:cs="仿宋_GB2312" w:eastAsia="仿宋_GB2312"/>
          <w:sz w:val="24"/>
          <w:b/>
          <w:u w:val="single"/>
        </w:rPr>
        <w:t>（供应商应针对本项作出单项承诺，未作承诺者按无效投标处理）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u w:val="single"/>
        </w:rPr>
        <w:t>（</w:t>
      </w:r>
      <w:r>
        <w:rPr>
          <w:rFonts w:ascii="仿宋_GB2312" w:hAnsi="仿宋_GB2312" w:cs="仿宋_GB2312" w:eastAsia="仿宋_GB2312"/>
          <w:sz w:val="24"/>
          <w:u w:val="single"/>
        </w:rPr>
        <w:t>11）为降低立体停车场的故障率，成交供应商应自行对停车系统软件进行升级，定期对设备程序运行进行监测，能够远程监控设备运行情况，第一时间发现故障并及时排除。</w:t>
      </w:r>
    </w:p>
    <w:p>
      <w:pPr>
        <w:pStyle w:val="null3"/>
        <w:jc w:val="left"/>
      </w:pPr>
      <w:r>
        <w:rPr>
          <w:rFonts w:ascii="仿宋_GB2312" w:hAnsi="仿宋_GB2312" w:cs="仿宋_GB2312" w:eastAsia="仿宋_GB2312"/>
          <w:sz w:val="24"/>
        </w:rPr>
        <w:t>3、维保质量要求</w:t>
      </w:r>
    </w:p>
    <w:p>
      <w:pPr>
        <w:pStyle w:val="null3"/>
        <w:ind w:firstLine="482"/>
        <w:jc w:val="left"/>
      </w:pPr>
      <w:r>
        <w:rPr>
          <w:rFonts w:ascii="仿宋_GB2312" w:hAnsi="仿宋_GB2312" w:cs="仿宋_GB2312" w:eastAsia="仿宋_GB2312"/>
          <w:sz w:val="24"/>
          <w:b/>
        </w:rPr>
        <w:t>(评审项10)</w:t>
      </w:r>
      <w:r>
        <w:rPr>
          <w:rFonts w:ascii="仿宋_GB2312" w:hAnsi="仿宋_GB2312" w:cs="仿宋_GB2312" w:eastAsia="仿宋_GB2312"/>
          <w:sz w:val="24"/>
        </w:rPr>
        <w:t>维保服务应符合《中华人民共和国特种设备安全法》及符合国家和省市颁布的现行规范和规定的质量标准，对立体停车场进行维护保养，若招标期间或合同期间，国家重新颁布行业规范，则按最新规范执行。</w:t>
      </w:r>
    </w:p>
    <w:p>
      <w:pPr>
        <w:pStyle w:val="null3"/>
        <w:jc w:val="left"/>
      </w:pPr>
      <w:r>
        <w:rPr>
          <w:rFonts w:ascii="仿宋_GB2312" w:hAnsi="仿宋_GB2312" w:cs="仿宋_GB2312" w:eastAsia="仿宋_GB2312"/>
          <w:sz w:val="24"/>
        </w:rPr>
        <w:t>4、紧急故障处理要求</w:t>
      </w:r>
    </w:p>
    <w:p>
      <w:pPr>
        <w:pStyle w:val="null3"/>
        <w:ind w:firstLine="482"/>
        <w:jc w:val="left"/>
      </w:pPr>
      <w:r>
        <w:rPr>
          <w:rFonts w:ascii="仿宋_GB2312" w:hAnsi="仿宋_GB2312" w:cs="仿宋_GB2312" w:eastAsia="仿宋_GB2312"/>
          <w:sz w:val="24"/>
          <w:b/>
        </w:rPr>
        <w:t>(评审项11)</w:t>
      </w:r>
      <w:r>
        <w:rPr>
          <w:rFonts w:ascii="仿宋_GB2312" w:hAnsi="仿宋_GB2312" w:cs="仿宋_GB2312" w:eastAsia="仿宋_GB2312"/>
          <w:sz w:val="24"/>
        </w:rPr>
        <w:t>（</w:t>
      </w:r>
      <w:r>
        <w:rPr>
          <w:rFonts w:ascii="仿宋_GB2312" w:hAnsi="仿宋_GB2312" w:cs="仿宋_GB2312" w:eastAsia="仿宋_GB2312"/>
          <w:sz w:val="24"/>
        </w:rPr>
        <w:t>1） 采购人因故障报修或依实际需要，成交供应商应在接到采购人通知后</w:t>
      </w:r>
      <w:r>
        <w:rPr>
          <w:rFonts w:ascii="仿宋_GB2312" w:hAnsi="仿宋_GB2312" w:cs="仿宋_GB2312" w:eastAsia="仿宋_GB2312"/>
          <w:sz w:val="24"/>
        </w:rPr>
        <w:t>2小时</w:t>
      </w:r>
      <w:r>
        <w:rPr>
          <w:rFonts w:ascii="仿宋_GB2312" w:hAnsi="仿宋_GB2312" w:cs="仿宋_GB2312" w:eastAsia="仿宋_GB2312"/>
          <w:sz w:val="24"/>
        </w:rPr>
        <w:t>内</w:t>
      </w:r>
      <w:r>
        <w:rPr>
          <w:rFonts w:ascii="仿宋_GB2312" w:hAnsi="仿宋_GB2312" w:cs="仿宋_GB2312" w:eastAsia="仿宋_GB2312"/>
          <w:sz w:val="24"/>
        </w:rPr>
        <w:t>赶到指定位置。</w:t>
      </w:r>
    </w:p>
    <w:p>
      <w:pPr>
        <w:pStyle w:val="null3"/>
        <w:ind w:firstLine="482"/>
        <w:jc w:val="left"/>
      </w:pPr>
      <w:r>
        <w:rPr>
          <w:rFonts w:ascii="仿宋_GB2312" w:hAnsi="仿宋_GB2312" w:cs="仿宋_GB2312" w:eastAsia="仿宋_GB2312"/>
          <w:sz w:val="24"/>
          <w:b/>
        </w:rPr>
        <w:t>(评审项12)</w:t>
      </w:r>
      <w:r>
        <w:rPr>
          <w:rFonts w:ascii="仿宋_GB2312" w:hAnsi="仿宋_GB2312" w:cs="仿宋_GB2312" w:eastAsia="仿宋_GB2312"/>
          <w:sz w:val="24"/>
        </w:rPr>
        <w:t>（</w:t>
      </w:r>
      <w:r>
        <w:rPr>
          <w:rFonts w:ascii="仿宋_GB2312" w:hAnsi="仿宋_GB2312" w:cs="仿宋_GB2312" w:eastAsia="仿宋_GB2312"/>
          <w:sz w:val="24"/>
        </w:rPr>
        <w:t>2）成交供应商接</w:t>
      </w:r>
      <w:r>
        <w:rPr>
          <w:rFonts w:ascii="仿宋_GB2312" w:hAnsi="仿宋_GB2312" w:cs="仿宋_GB2312" w:eastAsia="仿宋_GB2312"/>
          <w:sz w:val="24"/>
        </w:rPr>
        <w:t>到</w:t>
      </w:r>
      <w:r>
        <w:rPr>
          <w:rFonts w:ascii="仿宋_GB2312" w:hAnsi="仿宋_GB2312" w:cs="仿宋_GB2312" w:eastAsia="仿宋_GB2312"/>
          <w:sz w:val="24"/>
        </w:rPr>
        <w:t>采购人应急抢修通知，</w:t>
      </w:r>
      <w:r>
        <w:rPr>
          <w:rFonts w:ascii="仿宋_GB2312" w:hAnsi="仿宋_GB2312" w:cs="仿宋_GB2312" w:eastAsia="仿宋_GB2312"/>
          <w:sz w:val="24"/>
        </w:rPr>
        <w:t>应在</w:t>
      </w:r>
      <w:r>
        <w:rPr>
          <w:rFonts w:ascii="仿宋_GB2312" w:hAnsi="仿宋_GB2312" w:cs="仿宋_GB2312" w:eastAsia="仿宋_GB2312"/>
          <w:sz w:val="24"/>
        </w:rPr>
        <w:t>30</w:t>
      </w:r>
      <w:r>
        <w:rPr>
          <w:rFonts w:ascii="仿宋_GB2312" w:hAnsi="仿宋_GB2312" w:cs="仿宋_GB2312" w:eastAsia="仿宋_GB2312"/>
          <w:sz w:val="24"/>
        </w:rPr>
        <w:t>分钟</w:t>
      </w:r>
      <w:r>
        <w:rPr>
          <w:rFonts w:ascii="仿宋_GB2312" w:hAnsi="仿宋_GB2312" w:cs="仿宋_GB2312" w:eastAsia="仿宋_GB2312"/>
          <w:sz w:val="24"/>
        </w:rPr>
        <w:t>内</w:t>
      </w:r>
      <w:r>
        <w:rPr>
          <w:rFonts w:ascii="仿宋_GB2312" w:hAnsi="仿宋_GB2312" w:cs="仿宋_GB2312" w:eastAsia="仿宋_GB2312"/>
          <w:sz w:val="24"/>
        </w:rPr>
        <w:t>赶至指定位置；在火险等特殊情况下，必须在</w:t>
      </w:r>
      <w:r>
        <w:rPr>
          <w:rFonts w:ascii="仿宋_GB2312" w:hAnsi="仿宋_GB2312" w:cs="仿宋_GB2312" w:eastAsia="仿宋_GB2312"/>
          <w:sz w:val="24"/>
        </w:rPr>
        <w:t>10</w:t>
      </w:r>
      <w:r>
        <w:rPr>
          <w:rFonts w:ascii="仿宋_GB2312" w:hAnsi="仿宋_GB2312" w:cs="仿宋_GB2312" w:eastAsia="仿宋_GB2312"/>
          <w:sz w:val="24"/>
        </w:rPr>
        <w:t>分钟内到达事故点进行处理</w:t>
      </w:r>
      <w:r>
        <w:rPr>
          <w:rFonts w:ascii="仿宋_GB2312" w:hAnsi="仿宋_GB2312" w:cs="仿宋_GB2312" w:eastAsia="仿宋_GB2312"/>
          <w:sz w:val="24"/>
        </w:rPr>
        <w:t>。</w:t>
      </w:r>
    </w:p>
    <w:p>
      <w:pPr>
        <w:pStyle w:val="null3"/>
        <w:ind w:firstLine="482"/>
        <w:jc w:val="left"/>
      </w:pPr>
      <w:r>
        <w:rPr>
          <w:rFonts w:ascii="仿宋_GB2312" w:hAnsi="仿宋_GB2312" w:cs="仿宋_GB2312" w:eastAsia="仿宋_GB2312"/>
          <w:sz w:val="24"/>
          <w:b/>
        </w:rPr>
        <w:t>(评审项13)</w:t>
      </w:r>
      <w:r>
        <w:rPr>
          <w:rFonts w:ascii="仿宋_GB2312" w:hAnsi="仿宋_GB2312" w:cs="仿宋_GB2312" w:eastAsia="仿宋_GB2312"/>
          <w:sz w:val="24"/>
        </w:rPr>
        <w:t>（</w:t>
      </w:r>
      <w:r>
        <w:rPr>
          <w:rFonts w:ascii="仿宋_GB2312" w:hAnsi="仿宋_GB2312" w:cs="仿宋_GB2312" w:eastAsia="仿宋_GB2312"/>
          <w:sz w:val="24"/>
        </w:rPr>
        <w:t>3）对立体停车场存在的问题和故障，</w:t>
      </w:r>
      <w:r>
        <w:rPr>
          <w:rFonts w:ascii="仿宋_GB2312" w:hAnsi="仿宋_GB2312" w:cs="仿宋_GB2312" w:eastAsia="仿宋_GB2312"/>
          <w:sz w:val="24"/>
        </w:rPr>
        <w:t>技术人员接通知后应</w:t>
      </w:r>
      <w:r>
        <w:rPr>
          <w:rFonts w:ascii="仿宋_GB2312" w:hAnsi="仿宋_GB2312" w:cs="仿宋_GB2312" w:eastAsia="仿宋_GB2312"/>
          <w:sz w:val="24"/>
        </w:rPr>
        <w:t>0.5</w:t>
      </w:r>
      <w:r>
        <w:rPr>
          <w:rFonts w:ascii="仿宋_GB2312" w:hAnsi="仿宋_GB2312" w:cs="仿宋_GB2312" w:eastAsia="仿宋_GB2312"/>
          <w:sz w:val="24"/>
        </w:rPr>
        <w:t>小时内到达驻点现场解决，</w:t>
      </w:r>
      <w:r>
        <w:rPr>
          <w:rFonts w:ascii="仿宋_GB2312" w:hAnsi="仿宋_GB2312" w:cs="仿宋_GB2312" w:eastAsia="仿宋_GB2312"/>
          <w:sz w:val="24"/>
        </w:rPr>
        <w:t>当场有条件解决的应当立即解决；没有条件当场解决的，应</w:t>
      </w:r>
      <w:r>
        <w:rPr>
          <w:rFonts w:ascii="仿宋_GB2312" w:hAnsi="仿宋_GB2312" w:cs="仿宋_GB2312" w:eastAsia="仿宋_GB2312"/>
          <w:sz w:val="24"/>
        </w:rPr>
        <w:t>当在</w:t>
      </w:r>
      <w:r>
        <w:rPr>
          <w:rFonts w:ascii="仿宋_GB2312" w:hAnsi="仿宋_GB2312" w:cs="仿宋_GB2312" w:eastAsia="仿宋_GB2312"/>
          <w:sz w:val="24"/>
        </w:rPr>
        <w:t>24小时内解决；需要由成交供应商或者厂家解决的，不影响立体停车场正常工作的应当在10个工作日内解决；需要由成交供应商或者厂家解决的，影响立体停车场正常工作的应当在6个</w:t>
      </w:r>
      <w:r>
        <w:rPr>
          <w:rFonts w:ascii="仿宋_GB2312" w:hAnsi="仿宋_GB2312" w:cs="仿宋_GB2312" w:eastAsia="仿宋_GB2312"/>
          <w:sz w:val="24"/>
        </w:rPr>
        <w:t>工作日内解决。</w:t>
      </w:r>
    </w:p>
    <w:p>
      <w:pPr>
        <w:pStyle w:val="null3"/>
        <w:ind w:firstLine="482"/>
        <w:jc w:val="left"/>
      </w:pPr>
      <w:r>
        <w:rPr>
          <w:rFonts w:ascii="仿宋_GB2312" w:hAnsi="仿宋_GB2312" w:cs="仿宋_GB2312" w:eastAsia="仿宋_GB2312"/>
          <w:sz w:val="24"/>
          <w:b/>
        </w:rPr>
        <w:t>(评审项14)</w:t>
      </w:r>
      <w:r>
        <w:rPr>
          <w:rFonts w:ascii="仿宋_GB2312" w:hAnsi="仿宋_GB2312" w:cs="仿宋_GB2312" w:eastAsia="仿宋_GB2312"/>
          <w:sz w:val="24"/>
        </w:rPr>
        <w:t>（</w:t>
      </w:r>
      <w:r>
        <w:rPr>
          <w:rFonts w:ascii="仿宋_GB2312" w:hAnsi="仿宋_GB2312" w:cs="仿宋_GB2312" w:eastAsia="仿宋_GB2312"/>
          <w:sz w:val="24"/>
        </w:rPr>
        <w:t>4）对需要立体停车场暂停工作的，应当报告采购人批准，并采取有效的安全措施加以补救。</w:t>
      </w:r>
    </w:p>
    <w:p>
      <w:pPr>
        <w:pStyle w:val="null3"/>
        <w:jc w:val="left"/>
      </w:pPr>
      <w:r>
        <w:rPr>
          <w:rFonts w:ascii="仿宋_GB2312" w:hAnsi="仿宋_GB2312" w:cs="仿宋_GB2312" w:eastAsia="仿宋_GB2312"/>
          <w:sz w:val="24"/>
        </w:rPr>
        <w:t>5、安全责任</w:t>
      </w:r>
    </w:p>
    <w:p>
      <w:pPr>
        <w:pStyle w:val="null3"/>
        <w:ind w:firstLine="482"/>
        <w:jc w:val="left"/>
      </w:pPr>
      <w:r>
        <w:rPr>
          <w:rFonts w:ascii="仿宋_GB2312" w:hAnsi="仿宋_GB2312" w:cs="仿宋_GB2312" w:eastAsia="仿宋_GB2312"/>
          <w:sz w:val="24"/>
          <w:b/>
        </w:rPr>
        <w:t>(评审项15)</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为了保证采购人维修保养工程的安全工作，成交供应商进行立体停车场维修保养前，应对派驻现场人员进行安全责任教育，其教育的主要内容为安全注意事项。</w:t>
      </w:r>
    </w:p>
    <w:p>
      <w:pPr>
        <w:pStyle w:val="null3"/>
        <w:ind w:firstLine="482"/>
        <w:jc w:val="left"/>
      </w:pPr>
      <w:r>
        <w:rPr>
          <w:rFonts w:ascii="仿宋_GB2312" w:hAnsi="仿宋_GB2312" w:cs="仿宋_GB2312" w:eastAsia="仿宋_GB2312"/>
          <w:sz w:val="24"/>
          <w:b/>
        </w:rPr>
        <w:t>(评审项16)</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成交供应商负责对维修保养人员的安全教育，严格按照相关安全操作规程操作，做好安全防范措施。成交供应商应确保双方人员财产安全，做到杜绝以下事故的发生（伤亡事故、火灾事故、触电、高空坠落、物体</w:t>
      </w:r>
      <w:r>
        <w:rPr>
          <w:rFonts w:ascii="仿宋_GB2312" w:hAnsi="仿宋_GB2312" w:cs="仿宋_GB2312" w:eastAsia="仿宋_GB2312"/>
          <w:sz w:val="24"/>
          <w:shd w:fill="FFFFFF" w:val="clear"/>
        </w:rPr>
        <w:t>打</w:t>
      </w:r>
      <w:r>
        <w:rPr>
          <w:rFonts w:ascii="仿宋_GB2312" w:hAnsi="仿宋_GB2312" w:cs="仿宋_GB2312" w:eastAsia="仿宋_GB2312"/>
          <w:sz w:val="24"/>
          <w:shd w:fill="FFFFFF" w:val="clear"/>
        </w:rPr>
        <w:t>击、机械伤害、中毒、中暑等等）各类事故的发生，如因成交供应商工作原因发生任何事故，所造成的所有损失和责任均由成交供应商承担，与采购人无关。</w:t>
      </w:r>
    </w:p>
    <w:p>
      <w:pPr>
        <w:pStyle w:val="null3"/>
        <w:ind w:firstLine="482"/>
        <w:jc w:val="left"/>
      </w:pPr>
      <w:r>
        <w:rPr>
          <w:rFonts w:ascii="仿宋_GB2312" w:hAnsi="仿宋_GB2312" w:cs="仿宋_GB2312" w:eastAsia="仿宋_GB2312"/>
          <w:sz w:val="24"/>
          <w:b/>
        </w:rPr>
        <w:t>(评审项17)</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3）成交供应商要做到合法用工，工作人员相关证件齐全，如成交供应商违法用工造成的损失由成交供应商承担。</w:t>
      </w:r>
    </w:p>
    <w:p>
      <w:pPr>
        <w:pStyle w:val="null3"/>
        <w:jc w:val="left"/>
      </w:pPr>
      <w:r>
        <w:rPr>
          <w:rFonts w:ascii="仿宋_GB2312" w:hAnsi="仿宋_GB2312" w:cs="仿宋_GB2312" w:eastAsia="仿宋_GB2312"/>
          <w:sz w:val="24"/>
        </w:rPr>
        <w:t>6、人员要求</w:t>
      </w:r>
    </w:p>
    <w:p>
      <w:pPr>
        <w:pStyle w:val="null3"/>
        <w:ind w:right="-180" w:firstLine="482"/>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供应商应为本项目配备至少3名技术人员，拟配备的技术人员应具有《中华人民共和国特种作业操作证》，立体车库属于特种设备，成交供应商应在技术人员上岗前必须对其进行岗前培训，其他人员不得擅自操作。技术人员应固定并且维保技术过硬，遵守职业道德。如发现维修人员不遵守操作规程或做出违背职业道德的言行，采购人有权要求对维保人员进行调离并消除影响。成交供应商技术人员在日常维护保养作业中，必须遵守采购人的相关制度。遇特殊情况需要加班处理故障不得推诿，直至故障排除才可离开。</w:t>
      </w:r>
      <w:r>
        <w:rPr>
          <w:rFonts w:ascii="仿宋_GB2312" w:hAnsi="仿宋_GB2312" w:cs="仿宋_GB2312" w:eastAsia="仿宋_GB2312"/>
          <w:sz w:val="24"/>
          <w:b/>
          <w:u w:val="single"/>
          <w:shd w:fill="FFFFFF" w:val="clear"/>
        </w:rPr>
        <w:t>供应商应在响应文件中提供技术人员的名单、身份证复印件、联系方式及合格有效的特种作业操作证复印件。</w:t>
      </w:r>
    </w:p>
    <w:p>
      <w:pPr>
        <w:pStyle w:val="null3"/>
        <w:ind w:right="-180" w:firstLine="482"/>
        <w:jc w:val="left"/>
      </w:pP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2）成交供应商</w:t>
      </w:r>
      <w:r>
        <w:rPr>
          <w:rFonts w:ascii="仿宋_GB2312" w:hAnsi="仿宋_GB2312" w:cs="仿宋_GB2312" w:eastAsia="仿宋_GB2312"/>
          <w:sz w:val="24"/>
        </w:rPr>
        <w:t>须派驻至少</w:t>
      </w:r>
      <w:r>
        <w:rPr>
          <w:rFonts w:ascii="仿宋_GB2312" w:hAnsi="仿宋_GB2312" w:cs="仿宋_GB2312" w:eastAsia="仿宋_GB2312"/>
          <w:sz w:val="24"/>
        </w:rPr>
        <w:t>1</w:t>
      </w:r>
      <w:r>
        <w:rPr>
          <w:rFonts w:ascii="仿宋_GB2312" w:hAnsi="仿宋_GB2312" w:cs="仿宋_GB2312" w:eastAsia="仿宋_GB2312"/>
          <w:sz w:val="24"/>
        </w:rPr>
        <w:t>名持有《中华人民共和国特种作业操作证》的技术人员常驻在采购人单位内每天进行系统巡查，驻点时间为</w:t>
      </w:r>
      <w:r>
        <w:rPr>
          <w:rFonts w:ascii="仿宋_GB2312" w:hAnsi="仿宋_GB2312" w:cs="仿宋_GB2312" w:eastAsia="仿宋_GB2312"/>
          <w:sz w:val="24"/>
        </w:rPr>
        <w:t>7*24小时，驻点期间应做好停车设备维护、排查、隐患整改等工作，成交供应商需提供驻点人员相关资料供采购单位审核。原则上不允许成交供应商随意更换驻场人员，出现特殊情况需要更换驻场维保人员时需提前向采购人申请，且更换人员资质不得低于投标承诺。</w:t>
      </w:r>
      <w:r>
        <w:rPr>
          <w:rFonts w:ascii="仿宋_GB2312" w:hAnsi="仿宋_GB2312" w:cs="仿宋_GB2312" w:eastAsia="仿宋_GB2312"/>
          <w:sz w:val="24"/>
        </w:rPr>
        <w:t>上述所产生的费用由供应商自行承担。</w:t>
      </w:r>
      <w:r>
        <w:rPr>
          <w:rFonts w:ascii="仿宋_GB2312" w:hAnsi="仿宋_GB2312" w:cs="仿宋_GB2312" w:eastAsia="仿宋_GB2312"/>
          <w:sz w:val="24"/>
          <w:b/>
          <w:u w:val="single"/>
        </w:rPr>
        <w:t>（供应商应针对本项进行单独承诺，未进行承诺者，按无效响应处理。）</w:t>
      </w:r>
    </w:p>
    <w:p>
      <w:pPr>
        <w:pStyle w:val="null3"/>
        <w:ind w:right="-180" w:firstLine="204"/>
        <w:jc w:val="left"/>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rPr>
        <w:t>采购人与</w:t>
      </w:r>
      <w:r>
        <w:rPr>
          <w:rFonts w:ascii="仿宋_GB2312" w:hAnsi="仿宋_GB2312" w:cs="仿宋_GB2312" w:eastAsia="仿宋_GB2312"/>
          <w:sz w:val="24"/>
          <w:shd w:fill="FFFFFF" w:val="clear"/>
        </w:rPr>
        <w:t>成交供应商</w:t>
      </w:r>
      <w:r>
        <w:rPr>
          <w:rFonts w:ascii="仿宋_GB2312" w:hAnsi="仿宋_GB2312" w:cs="仿宋_GB2312" w:eastAsia="仿宋_GB2312"/>
          <w:sz w:val="24"/>
        </w:rPr>
        <w:t>本合同届满后，采购人需重新规划采购活动，发布新的采购公告，确保业务的连续性。届时</w:t>
      </w:r>
      <w:r>
        <w:rPr>
          <w:rFonts w:ascii="仿宋_GB2312" w:hAnsi="仿宋_GB2312" w:cs="仿宋_GB2312" w:eastAsia="仿宋_GB2312"/>
          <w:sz w:val="24"/>
          <w:shd w:fill="FFFFFF" w:val="clear"/>
        </w:rPr>
        <w:t>成交供应商</w:t>
      </w:r>
      <w:r>
        <w:rPr>
          <w:rFonts w:ascii="仿宋_GB2312" w:hAnsi="仿宋_GB2312" w:cs="仿宋_GB2312" w:eastAsia="仿宋_GB2312"/>
          <w:sz w:val="24"/>
        </w:rPr>
        <w:t>需要与新的成交供应商交接（包括但不限于</w:t>
      </w:r>
      <w:r>
        <w:rPr>
          <w:rFonts w:ascii="仿宋_GB2312" w:hAnsi="仿宋_GB2312" w:cs="仿宋_GB2312" w:eastAsia="仿宋_GB2312"/>
          <w:sz w:val="24"/>
        </w:rPr>
        <w:t>系统软件</w:t>
      </w:r>
      <w:r>
        <w:rPr>
          <w:rFonts w:ascii="仿宋_GB2312" w:hAnsi="仿宋_GB2312" w:cs="仿宋_GB2312" w:eastAsia="仿宋_GB2312"/>
          <w:sz w:val="24"/>
        </w:rPr>
        <w:t>涉及到的账号密码等</w:t>
      </w:r>
      <w:r>
        <w:rPr>
          <w:rFonts w:ascii="仿宋_GB2312" w:hAnsi="仿宋_GB2312" w:cs="仿宋_GB2312" w:eastAsia="仿宋_GB2312"/>
          <w:sz w:val="24"/>
        </w:rPr>
        <w:t>），</w:t>
      </w:r>
      <w:r>
        <w:rPr>
          <w:rFonts w:ascii="仿宋_GB2312" w:hAnsi="仿宋_GB2312" w:cs="仿宋_GB2312" w:eastAsia="仿宋_GB2312"/>
          <w:sz w:val="24"/>
        </w:rPr>
        <w:t>需做到无缝衔接，</w:t>
      </w:r>
      <w:r>
        <w:rPr>
          <w:rFonts w:ascii="仿宋_GB2312" w:hAnsi="仿宋_GB2312" w:cs="仿宋_GB2312" w:eastAsia="仿宋_GB2312"/>
          <w:sz w:val="24"/>
        </w:rPr>
        <w:t>不得对采购人造成不便。</w:t>
      </w:r>
      <w:r>
        <w:rPr>
          <w:rFonts w:ascii="仿宋_GB2312" w:hAnsi="仿宋_GB2312" w:cs="仿宋_GB2312" w:eastAsia="仿宋_GB2312"/>
          <w:sz w:val="24"/>
          <w:b/>
          <w:u w:val="single"/>
        </w:rPr>
        <w:t>（供应商应针对本项进行单独承诺，未进行承诺者，按无效响应处理。）</w:t>
      </w:r>
    </w:p>
    <w:p>
      <w:pPr>
        <w:pStyle w:val="null3"/>
        <w:spacing w:before="75" w:after="75"/>
        <w:ind w:left="-180" w:right="-180"/>
        <w:jc w:val="left"/>
      </w:pPr>
      <w:r>
        <w:rPr>
          <w:rFonts w:ascii="仿宋_GB2312" w:hAnsi="仿宋_GB2312" w:cs="仿宋_GB2312" w:eastAsia="仿宋_GB2312"/>
          <w:sz w:val="24"/>
        </w:rPr>
        <w:t>7</w:t>
      </w:r>
      <w:r>
        <w:rPr>
          <w:rFonts w:ascii="仿宋_GB2312" w:hAnsi="仿宋_GB2312" w:cs="仿宋_GB2312" w:eastAsia="仿宋_GB2312"/>
          <w:sz w:val="24"/>
        </w:rPr>
        <w:t>、报价要求</w:t>
      </w:r>
    </w:p>
    <w:p>
      <w:pPr>
        <w:pStyle w:val="null3"/>
        <w:ind w:firstLine="480"/>
        <w:jc w:val="left"/>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1）本项目最高限价为</w:t>
      </w:r>
      <w:r>
        <w:rPr>
          <w:rFonts w:ascii="仿宋_GB2312" w:hAnsi="仿宋_GB2312" w:cs="仿宋_GB2312" w:eastAsia="仿宋_GB2312"/>
          <w:sz w:val="24"/>
        </w:rPr>
        <w:t>124</w:t>
      </w:r>
      <w:r>
        <w:rPr>
          <w:rFonts w:ascii="仿宋_GB2312" w:hAnsi="仿宋_GB2312" w:cs="仿宋_GB2312" w:eastAsia="仿宋_GB2312"/>
          <w:sz w:val="24"/>
          <w:shd w:fill="FFFFFF" w:val="clear"/>
        </w:rPr>
        <w:t>万元</w:t>
      </w:r>
      <w:r>
        <w:rPr>
          <w:rFonts w:ascii="仿宋_GB2312" w:hAnsi="仿宋_GB2312" w:cs="仿宋_GB2312" w:eastAsia="仿宋_GB2312"/>
          <w:sz w:val="24"/>
          <w:shd w:fill="FFFFFF" w:val="clear"/>
        </w:rPr>
        <w:t>(2年)，其中包含特种设备责任险费用16.24万元(2年)，特种设备年检费用4万元(2年)，上述两项费用为固定金额，供应商的投标总价中应包含上述两项固定金额且不允许调整（</w:t>
      </w:r>
      <w:r>
        <w:rPr>
          <w:rFonts w:ascii="仿宋_GB2312" w:hAnsi="仿宋_GB2312" w:cs="仿宋_GB2312" w:eastAsia="仿宋_GB2312"/>
          <w:sz w:val="24"/>
          <w:u w:val="single"/>
          <w:shd w:fill="FFFFFF" w:val="clear"/>
        </w:rPr>
        <w:t>即投标总价</w:t>
      </w:r>
      <w:r>
        <w:rPr>
          <w:rFonts w:ascii="仿宋_GB2312" w:hAnsi="仿宋_GB2312" w:cs="仿宋_GB2312" w:eastAsia="仿宋_GB2312"/>
          <w:sz w:val="24"/>
          <w:u w:val="single"/>
          <w:shd w:fill="FFFFFF" w:val="clear"/>
        </w:rPr>
        <w:t>=常规维保费用投标报价+特种设备责任险16.24万元+特种设备年检4万元）</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★（2）供应商应协助采购人办理特种设备责任险投保及特种设备年检事宜，采购人有权自行选择保险方案及年检方案，</w:t>
      </w:r>
      <w:r>
        <w:rPr>
          <w:rFonts w:ascii="仿宋_GB2312" w:hAnsi="仿宋_GB2312" w:cs="仿宋_GB2312" w:eastAsia="仿宋_GB2312"/>
          <w:sz w:val="24"/>
          <w:shd w:fill="FFFFFF" w:val="clear"/>
        </w:rPr>
        <w:t>不得超过最高限价，</w:t>
      </w:r>
      <w:r>
        <w:rPr>
          <w:rFonts w:ascii="仿宋_GB2312" w:hAnsi="仿宋_GB2312" w:cs="仿宋_GB2312" w:eastAsia="仿宋_GB2312"/>
          <w:sz w:val="24"/>
          <w:shd w:fill="FFFFFF" w:val="clear"/>
        </w:rPr>
        <w:t>投保及年检费用如未全部使用，剩余金额将作为停车场维保使用。</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自合同签订之日起合同签订后即提供服务，服务期为合同签订之日起2年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福建省福州市鼓楼区冶山路10号</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符合国家相关规定及采购文件要求，并经采购人验收合格后</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1、期次1，说明：项目按磋商文件要求及合同中的相关条款进行验收。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1、第一季度维保结束，供应商提供正式发票，达到付款条件起15日内，支付合同总金额的12.50%</w:t>
            </w:r>
          </w:p>
          <w:p>
            <w:pPr>
              <w:pStyle w:val="null3"/>
            </w:pPr>
            <w:r>
              <w:rPr>
                <w:rFonts w:ascii="仿宋_GB2312" w:hAnsi="仿宋_GB2312" w:cs="仿宋_GB2312" w:eastAsia="仿宋_GB2312"/>
              </w:rPr>
              <w:t>2、第二季度维保结束，供应商提供正式发票，达到付款条件起15日内，支付合同总金额的12.50%</w:t>
            </w:r>
          </w:p>
          <w:p>
            <w:pPr>
              <w:pStyle w:val="null3"/>
            </w:pPr>
            <w:r>
              <w:rPr>
                <w:rFonts w:ascii="仿宋_GB2312" w:hAnsi="仿宋_GB2312" w:cs="仿宋_GB2312" w:eastAsia="仿宋_GB2312"/>
              </w:rPr>
              <w:t>3、第三季度维保结束，供应商提供正式发票，达到付款条件起15日内，支付合同总金额的12.50%</w:t>
            </w:r>
          </w:p>
          <w:p>
            <w:pPr>
              <w:pStyle w:val="null3"/>
            </w:pPr>
            <w:r>
              <w:rPr>
                <w:rFonts w:ascii="仿宋_GB2312" w:hAnsi="仿宋_GB2312" w:cs="仿宋_GB2312" w:eastAsia="仿宋_GB2312"/>
              </w:rPr>
              <w:t>4、第四季度维保结束，供应商提供正式发票，达到付款条件起15日内，支付合同总金额的12.50%</w:t>
            </w:r>
          </w:p>
          <w:p>
            <w:pPr>
              <w:pStyle w:val="null3"/>
            </w:pPr>
            <w:r>
              <w:rPr>
                <w:rFonts w:ascii="仿宋_GB2312" w:hAnsi="仿宋_GB2312" w:cs="仿宋_GB2312" w:eastAsia="仿宋_GB2312"/>
              </w:rPr>
              <w:t>5、第五季度维保结束，供应商提供正式发票，达到付款条件起15日内，支付合同总金额的12.50%</w:t>
            </w:r>
          </w:p>
          <w:p>
            <w:pPr>
              <w:pStyle w:val="null3"/>
            </w:pPr>
            <w:r>
              <w:rPr>
                <w:rFonts w:ascii="仿宋_GB2312" w:hAnsi="仿宋_GB2312" w:cs="仿宋_GB2312" w:eastAsia="仿宋_GB2312"/>
              </w:rPr>
              <w:t>6、第六季度维保结束，供应商提供正式发票，达到付款条件起15日内，支付合同总金额的12.50%</w:t>
            </w:r>
          </w:p>
          <w:p>
            <w:pPr>
              <w:pStyle w:val="null3"/>
            </w:pPr>
            <w:r>
              <w:rPr>
                <w:rFonts w:ascii="仿宋_GB2312" w:hAnsi="仿宋_GB2312" w:cs="仿宋_GB2312" w:eastAsia="仿宋_GB2312"/>
              </w:rPr>
              <w:t>7、第七季度维保结束，供应商提供正式发票，达到付款条件起15日内，支付合同总金额的12.50%</w:t>
            </w:r>
          </w:p>
          <w:p>
            <w:pPr>
              <w:pStyle w:val="null3"/>
            </w:pPr>
            <w:r>
              <w:rPr>
                <w:rFonts w:ascii="仿宋_GB2312" w:hAnsi="仿宋_GB2312" w:cs="仿宋_GB2312" w:eastAsia="仿宋_GB2312"/>
              </w:rPr>
              <w:t>8、第八季度维保结束，供应商提供正式发票，达到付款条件起15日内，支付合同总金额的12.50%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1、关于支付方式，由于系统模版原因，磋商文件中有关合同支付方式的规定若有与此处不一致的，以此处为准。 2、合同支付方式补充说明：本项目分成8个季度支付，每季度根据考核情况支付对应的合同款项。</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、质量保修期</w:t>
      </w:r>
    </w:p>
    <w:p>
      <w:pPr>
        <w:pStyle w:val="null3"/>
        <w:ind w:firstLine="480"/>
        <w:jc w:val="left"/>
      </w:pPr>
      <w:r>
        <w:rPr>
          <w:rFonts w:ascii="仿宋_GB2312" w:hAnsi="仿宋_GB2312" w:cs="仿宋_GB2312" w:eastAsia="仿宋_GB2312"/>
          <w:sz w:val="24"/>
        </w:rPr>
        <w:t>本项目维保期间，所更换的配件应提供不少于一年的免费质保服务（质保期从配件更换之日起算）。</w:t>
      </w:r>
    </w:p>
    <w:p>
      <w:pPr>
        <w:pStyle w:val="null3"/>
        <w:spacing w:before="75" w:after="75"/>
        <w:ind w:left="-180" w:right="-180"/>
        <w:jc w:val="left"/>
      </w:pPr>
      <w:r>
        <w:rPr>
          <w:rFonts w:ascii="仿宋_GB2312" w:hAnsi="仿宋_GB2312" w:cs="仿宋_GB2312" w:eastAsia="仿宋_GB2312"/>
          <w:sz w:val="24"/>
          <w:b/>
        </w:rPr>
        <w:t>10</w:t>
      </w:r>
      <w:r>
        <w:rPr>
          <w:rFonts w:ascii="仿宋_GB2312" w:hAnsi="仿宋_GB2312" w:cs="仿宋_GB2312" w:eastAsia="仿宋_GB2312"/>
          <w:sz w:val="24"/>
          <w:b/>
        </w:rPr>
        <w:t>、违约责任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双方应严格履行本合同，一方违约，另一方有权解除本合同，违约方同时应承担相应的违约责任。造成一方损失的，应承担相应的赔偿责任。达不到合同及磋商文件中的标准要求，采购人有权单方解除合同，不承担法律责任；采购人未能按其权利义务约定，造成成交供应商不能履行本合同义务时，成交供应商有权单方终止合同，不承担法律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2）成交供应商应按响应文件的承诺派遣相应专业技能的维保人员。如违反约定，采购人可视情况扣减成交供应商相应的维保费。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3）如成交供应商违反</w:t>
      </w:r>
      <w:r>
        <w:rPr>
          <w:rFonts w:ascii="仿宋_GB2312" w:hAnsi="仿宋_GB2312" w:cs="仿宋_GB2312" w:eastAsia="仿宋_GB2312"/>
          <w:sz w:val="24"/>
        </w:rPr>
        <w:t>磋商文件</w:t>
      </w:r>
      <w:r>
        <w:rPr>
          <w:rFonts w:ascii="仿宋_GB2312" w:hAnsi="仿宋_GB2312" w:cs="仿宋_GB2312" w:eastAsia="仿宋_GB2312"/>
          <w:sz w:val="24"/>
        </w:rPr>
        <w:t>、响应文件规定，未达到约定的服务质量，采购人有权要求成交供应商限期整改，逾期未整改的，采购人有权终止合同；造成采购人利益损害的，成交供应商应给予采购人经济赔偿。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如采购人违反磋商文件、响应文件规定，使成交供应商不能达到约定的服务质量，成交供应商有权要求采购人在一定期限内解决，逾期未解决的，成交供应商有权终止合同；造成成交供应商经济损失的，采购人应给予成交供应商经济赔偿。</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5）因成交供应商操作不当或维保不及时等原因，导致采购人设备设施及其他直接损失的，由成交供应商承担经济和法律责任并负责善后处理。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6）如成交供应商维保服务不及时，采购人有权利委托第三方进行维保服务，并从成交供应商的维保费中扣除相应的金额。</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7）不得将本维保项目分包、转包或变相转包给任何企业或个人。如发现，采购人有权单方解除合同，不承担法律责任。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成交金额应以包括项目所涉及的有关项目的所有费用进行报价，包括：人员工资、服装、社保、工具维修材料费、利润、税金以及相关费用等，人员工资不得低于当地政府部门发布的最新最低工资标准。成交后，在项目实施中出现任何遗漏，均由成交供应商免费提供，采购人不再支付任何费用。合同签订后，采购人将对成交供应商的工作质量进行考核。</w:t>
      </w:r>
    </w:p>
    <w:tbl>
      <w:tblPr>
        <w:tblW w:w="0" w:type="auto"/>
        <w:tblBorders>
          <w:top w:val="none" w:color="000000" w:sz="4"/>
          <w:left w:val="none" w:color="000000" w:sz="4"/>
          <w:bottom w:val="none" w:color="000000" w:sz="4"/>
          <w:right w:val="none" w:color="000000" w:sz="4"/>
          <w:insideH w:val="none"/>
          <w:insideV w:val="none"/>
        </w:tblBorders>
      </w:tblPr>
      <w:tblGrid>
        <w:gridCol w:w="1174"/>
        <w:gridCol w:w="1627"/>
        <w:gridCol w:w="1465"/>
        <w:gridCol w:w="1465"/>
        <w:gridCol w:w="1401"/>
        <w:gridCol w:w="1174"/>
      </w:tblGrid>
      <w:tr>
        <w:tc>
          <w:tcPr>
            <w:tcW w:type="dxa" w:w="830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福建省林业局</w:t>
            </w:r>
            <w:r>
              <w:rPr>
                <w:rFonts w:ascii="仿宋_GB2312" w:hAnsi="仿宋_GB2312" w:cs="仿宋_GB2312" w:eastAsia="仿宋_GB2312"/>
                <w:sz w:val="24"/>
                <w:b/>
              </w:rPr>
              <w:t>关于</w:t>
            </w:r>
            <w:r>
              <w:rPr>
                <w:rFonts w:ascii="仿宋_GB2312" w:hAnsi="仿宋_GB2312" w:cs="仿宋_GB2312" w:eastAsia="仿宋_GB2312"/>
                <w:sz w:val="24"/>
                <w:b/>
              </w:rPr>
              <w:t>局立体停车库维保服务</w:t>
            </w:r>
            <w:r>
              <w:rPr>
                <w:rFonts w:ascii="仿宋_GB2312" w:hAnsi="仿宋_GB2312" w:cs="仿宋_GB2312" w:eastAsia="仿宋_GB2312"/>
                <w:sz w:val="24"/>
                <w:b/>
              </w:rPr>
              <w:t>季度</w:t>
            </w:r>
            <w:r>
              <w:rPr>
                <w:rFonts w:ascii="仿宋_GB2312" w:hAnsi="仿宋_GB2312" w:cs="仿宋_GB2312" w:eastAsia="仿宋_GB2312"/>
                <w:sz w:val="24"/>
                <w:b/>
              </w:rPr>
              <w:t>考核表</w:t>
            </w:r>
          </w:p>
          <w:p>
            <w:pPr>
              <w:pStyle w:val="null3"/>
              <w:spacing w:after="150"/>
              <w:jc w:val="center"/>
            </w:pPr>
            <w:r>
              <w:rPr>
                <w:rFonts w:ascii="仿宋_GB2312" w:hAnsi="仿宋_GB2312" w:cs="仿宋_GB2312" w:eastAsia="仿宋_GB2312"/>
                <w:sz w:val="24"/>
              </w:rPr>
              <w:t>（总分</w:t>
            </w:r>
            <w:r>
              <w:rPr>
                <w:rFonts w:ascii="仿宋_GB2312" w:hAnsi="仿宋_GB2312" w:cs="仿宋_GB2312" w:eastAsia="仿宋_GB2312"/>
                <w:sz w:val="24"/>
              </w:rPr>
              <w:t>100减去各项扣分数总和等于考核总得分）</w:t>
            </w: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考评项目</w:t>
            </w:r>
          </w:p>
        </w:tc>
        <w:tc>
          <w:tcPr>
            <w:tcW w:type="dxa" w:w="4557"/>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考评方法</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扣分数</w:t>
            </w: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备注</w:t>
            </w:r>
            <w:r>
              <w:rPr>
                <w:rFonts w:ascii="仿宋_GB2312" w:hAnsi="仿宋_GB2312" w:cs="仿宋_GB2312" w:eastAsia="仿宋_GB2312"/>
                <w:sz w:val="24"/>
                <w:b/>
              </w:rPr>
              <w:t>(扣分情况)</w:t>
            </w: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(一)考勤及人员管理制度</w:t>
            </w: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1、维保人员缺勤一次扣除考核分8分。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tcBorders>
              <w:top w:val="none" w:color="000000" w:sz="4"/>
              <w:left w:val="single" w:color="000000" w:sz="4"/>
              <w:bottom w:val="single" w:color="000000" w:sz="4"/>
              <w:right w:val="single" w:color="000000" w:sz="4"/>
            </w:tcBorders>
          </w:tcP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2、维保人员每出现一次迟到或者早退扣除考核分5分。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tcBorders>
              <w:top w:val="none" w:color="000000" w:sz="4"/>
              <w:left w:val="single" w:color="000000" w:sz="4"/>
              <w:bottom w:val="single" w:color="000000" w:sz="4"/>
              <w:right w:val="single" w:color="000000" w:sz="4"/>
            </w:tcBorders>
          </w:tcP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3、根据成交供应商响应承诺，原则上不允许成交供应商随意更换驻场人员，出现特殊情况需要更换驻场维保人员，更换人员资质不得低于投标承诺，且每</w:t>
            </w:r>
            <w:r>
              <w:rPr>
                <w:rFonts w:ascii="仿宋_GB2312" w:hAnsi="仿宋_GB2312" w:cs="仿宋_GB2312" w:eastAsia="仿宋_GB2312"/>
                <w:sz w:val="24"/>
              </w:rPr>
              <w:t>季度</w:t>
            </w:r>
            <w:r>
              <w:rPr>
                <w:rFonts w:ascii="仿宋_GB2312" w:hAnsi="仿宋_GB2312" w:cs="仿宋_GB2312" w:eastAsia="仿宋_GB2312"/>
                <w:sz w:val="24"/>
              </w:rPr>
              <w:t>只能更换</w:t>
            </w:r>
            <w:r>
              <w:rPr>
                <w:rFonts w:ascii="仿宋_GB2312" w:hAnsi="仿宋_GB2312" w:cs="仿宋_GB2312" w:eastAsia="仿宋_GB2312"/>
                <w:sz w:val="24"/>
              </w:rPr>
              <w:t>1人次。每超过1人次扣除考评分5分。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（二）响应时效考评</w:t>
            </w: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1、自维修信息发出，维保人员响应超时，每次超时扣除考评分5分。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tcBorders>
              <w:top w:val="none" w:color="000000" w:sz="4"/>
              <w:left w:val="single" w:color="000000" w:sz="4"/>
              <w:bottom w:val="single" w:color="000000" w:sz="4"/>
              <w:right w:val="single" w:color="000000" w:sz="4"/>
            </w:tcBorders>
          </w:tcP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2、普通故障维修响应时间超过响应文件要求的，每次超时扣除考评分10分。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（三）故障率考评</w:t>
            </w: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1、一</w:t>
            </w:r>
            <w:r>
              <w:rPr>
                <w:rFonts w:ascii="仿宋_GB2312" w:hAnsi="仿宋_GB2312" w:cs="仿宋_GB2312" w:eastAsia="仿宋_GB2312"/>
                <w:sz w:val="24"/>
              </w:rPr>
              <w:t>季度</w:t>
            </w:r>
            <w:r>
              <w:rPr>
                <w:rFonts w:ascii="仿宋_GB2312" w:hAnsi="仿宋_GB2312" w:cs="仿宋_GB2312" w:eastAsia="仿宋_GB2312"/>
                <w:sz w:val="24"/>
              </w:rPr>
              <w:t>内每出现</w:t>
            </w:r>
            <w:r>
              <w:rPr>
                <w:rFonts w:ascii="仿宋_GB2312" w:hAnsi="仿宋_GB2312" w:cs="仿宋_GB2312" w:eastAsia="仿宋_GB2312"/>
                <w:sz w:val="24"/>
              </w:rPr>
              <w:t>1次故障，造成设备停机，则扣除考评分10分。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（四）投诉情况考评</w:t>
            </w:r>
          </w:p>
        </w:tc>
        <w:tc>
          <w:tcPr>
            <w:tcW w:type="dxa" w:w="16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维保期间，采购人每收到一次针对成交供应商的投诉，经核查，确属驻点维修人员的过错的。</w:t>
            </w:r>
          </w:p>
        </w:tc>
        <w:tc>
          <w:tcPr>
            <w:tcW w:type="dxa" w:w="29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情节较轻的投诉，扣除本</w:t>
            </w:r>
            <w:r>
              <w:rPr>
                <w:rFonts w:ascii="仿宋_GB2312" w:hAnsi="仿宋_GB2312" w:cs="仿宋_GB2312" w:eastAsia="仿宋_GB2312"/>
                <w:sz w:val="24"/>
              </w:rPr>
              <w:t>季度</w:t>
            </w:r>
            <w:r>
              <w:rPr>
                <w:rFonts w:ascii="仿宋_GB2312" w:hAnsi="仿宋_GB2312" w:cs="仿宋_GB2312" w:eastAsia="仿宋_GB2312"/>
                <w:sz w:val="24"/>
              </w:rPr>
              <w:t>考评分</w:t>
            </w:r>
            <w:r>
              <w:rPr>
                <w:rFonts w:ascii="仿宋_GB2312" w:hAnsi="仿宋_GB2312" w:cs="仿宋_GB2312" w:eastAsia="仿宋_GB2312"/>
                <w:sz w:val="24"/>
              </w:rPr>
              <w:t>5分。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tcBorders>
              <w:top w:val="none" w:color="000000" w:sz="4"/>
              <w:left w:val="single" w:color="000000" w:sz="4"/>
              <w:bottom w:val="single" w:color="000000" w:sz="4"/>
              <w:right w:val="single" w:color="000000" w:sz="4"/>
            </w:tcBorders>
          </w:tcPr>
          <w:p/>
        </w:tc>
        <w:tc>
          <w:tcPr>
            <w:tcW w:type="dxa" w:w="1627"/>
            <w:vMerge/>
            <w:tcBorders>
              <w:top w:val="none" w:color="000000" w:sz="4"/>
              <w:left w:val="none" w:color="000000" w:sz="4"/>
              <w:bottom w:val="single" w:color="000000" w:sz="4"/>
              <w:right w:val="single" w:color="000000" w:sz="4"/>
            </w:tcBorders>
          </w:tcPr>
          <w:p/>
        </w:tc>
        <w:tc>
          <w:tcPr>
            <w:tcW w:type="dxa" w:w="29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情节一般的投诉，扣除本</w:t>
            </w:r>
            <w:r>
              <w:rPr>
                <w:rFonts w:ascii="仿宋_GB2312" w:hAnsi="仿宋_GB2312" w:cs="仿宋_GB2312" w:eastAsia="仿宋_GB2312"/>
                <w:sz w:val="24"/>
              </w:rPr>
              <w:t>季度</w:t>
            </w:r>
            <w:r>
              <w:rPr>
                <w:rFonts w:ascii="仿宋_GB2312" w:hAnsi="仿宋_GB2312" w:cs="仿宋_GB2312" w:eastAsia="仿宋_GB2312"/>
                <w:sz w:val="24"/>
              </w:rPr>
              <w:t>考评分</w:t>
            </w:r>
            <w:r>
              <w:rPr>
                <w:rFonts w:ascii="仿宋_GB2312" w:hAnsi="仿宋_GB2312" w:cs="仿宋_GB2312" w:eastAsia="仿宋_GB2312"/>
                <w:sz w:val="24"/>
              </w:rPr>
              <w:t>10分。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vMerge/>
            <w:tcBorders>
              <w:top w:val="none" w:color="000000" w:sz="4"/>
              <w:left w:val="single" w:color="000000" w:sz="4"/>
              <w:bottom w:val="single" w:color="000000" w:sz="4"/>
              <w:right w:val="single" w:color="000000" w:sz="4"/>
            </w:tcBorders>
          </w:tcPr>
          <w:p/>
        </w:tc>
        <w:tc>
          <w:tcPr>
            <w:tcW w:type="dxa" w:w="1627"/>
            <w:vMerge/>
            <w:tcBorders>
              <w:top w:val="none" w:color="000000" w:sz="4"/>
              <w:left w:val="none" w:color="000000" w:sz="4"/>
              <w:bottom w:val="single" w:color="000000" w:sz="4"/>
              <w:right w:val="single" w:color="000000" w:sz="4"/>
            </w:tcBorders>
          </w:tcPr>
          <w:p/>
        </w:tc>
        <w:tc>
          <w:tcPr>
            <w:tcW w:type="dxa" w:w="29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情节严重的投诉，扣除本</w:t>
            </w:r>
            <w:r>
              <w:rPr>
                <w:rFonts w:ascii="仿宋_GB2312" w:hAnsi="仿宋_GB2312" w:cs="仿宋_GB2312" w:eastAsia="仿宋_GB2312"/>
                <w:sz w:val="24"/>
              </w:rPr>
              <w:t>季度</w:t>
            </w:r>
            <w:r>
              <w:rPr>
                <w:rFonts w:ascii="仿宋_GB2312" w:hAnsi="仿宋_GB2312" w:cs="仿宋_GB2312" w:eastAsia="仿宋_GB2312"/>
                <w:sz w:val="24"/>
              </w:rPr>
              <w:t>考评分</w:t>
            </w:r>
            <w:r>
              <w:rPr>
                <w:rFonts w:ascii="仿宋_GB2312" w:hAnsi="仿宋_GB2312" w:cs="仿宋_GB2312" w:eastAsia="仿宋_GB2312"/>
                <w:sz w:val="24"/>
              </w:rPr>
              <w:t>20分。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（五）工作失误情况</w:t>
            </w:r>
          </w:p>
        </w:tc>
        <w:tc>
          <w:tcPr>
            <w:tcW w:type="dxa" w:w="455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rFonts w:ascii="仿宋_GB2312" w:hAnsi="仿宋_GB2312" w:cs="仿宋_GB2312" w:eastAsia="仿宋_GB2312"/>
                <w:sz w:val="24"/>
              </w:rPr>
              <w:t>如因成交供应商原因造成采购人损失的，成交供应商除应赔偿采购人损失外，当</w:t>
            </w:r>
            <w:r>
              <w:rPr>
                <w:rFonts w:ascii="仿宋_GB2312" w:hAnsi="仿宋_GB2312" w:cs="仿宋_GB2312" w:eastAsia="仿宋_GB2312"/>
                <w:sz w:val="24"/>
              </w:rPr>
              <w:t>季度</w:t>
            </w:r>
            <w:r>
              <w:rPr>
                <w:rFonts w:ascii="仿宋_GB2312" w:hAnsi="仿宋_GB2312" w:cs="仿宋_GB2312" w:eastAsia="仿宋_GB2312"/>
                <w:sz w:val="24"/>
              </w:rPr>
              <w:t>考评分扣除</w:t>
            </w:r>
            <w:r>
              <w:rPr>
                <w:rFonts w:ascii="仿宋_GB2312" w:hAnsi="仿宋_GB2312" w:cs="仿宋_GB2312" w:eastAsia="仿宋_GB2312"/>
                <w:sz w:val="24"/>
              </w:rPr>
              <w:t>22分。</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总分：</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）分</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优秀</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）良好</w:t>
            </w:r>
            <w:r>
              <w:rPr>
                <w:rFonts w:ascii="仿宋_GB2312" w:hAnsi="仿宋_GB2312" w:cs="仿宋_GB2312" w:eastAsia="仿宋_GB2312"/>
                <w:sz w:val="21"/>
                <w:b/>
              </w:rPr>
              <w:t xml:space="preserve">   </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）合格</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w:t>
            </w:r>
            <w:r>
              <w:rPr>
                <w:rFonts w:ascii="仿宋_GB2312" w:hAnsi="仿宋_GB2312" w:cs="仿宋_GB2312" w:eastAsia="仿宋_GB2312"/>
                <w:sz w:val="24"/>
                <w:b/>
              </w:rPr>
              <w:t>不</w:t>
            </w:r>
            <w:r>
              <w:rPr>
                <w:rFonts w:ascii="仿宋_GB2312" w:hAnsi="仿宋_GB2312" w:cs="仿宋_GB2312" w:eastAsia="仿宋_GB2312"/>
                <w:sz w:val="24"/>
                <w:b/>
              </w:rPr>
              <w:t>合格</w:t>
            </w:r>
          </w:p>
          <w:p>
            <w:pPr>
              <w:pStyle w:val="null3"/>
              <w:jc w:val="left"/>
            </w:pPr>
            <w:r>
              <w:rPr>
                <w:rFonts w:ascii="仿宋_GB2312" w:hAnsi="仿宋_GB2312" w:cs="仿宋_GB2312" w:eastAsia="仿宋_GB2312"/>
                <w:sz w:val="24"/>
                <w:b/>
              </w:rPr>
              <w:t xml:space="preserve"> </w:t>
            </w:r>
            <w:r>
              <w:rPr>
                <w:rFonts w:ascii="仿宋_GB2312" w:hAnsi="仿宋_GB2312" w:cs="仿宋_GB2312" w:eastAsia="仿宋_GB2312"/>
                <w:sz w:val="24"/>
                <w:b/>
              </w:rPr>
              <w:t>备注：总分为</w:t>
            </w:r>
            <w:r>
              <w:rPr>
                <w:rFonts w:ascii="仿宋_GB2312" w:hAnsi="仿宋_GB2312" w:cs="仿宋_GB2312" w:eastAsia="仿宋_GB2312"/>
                <w:sz w:val="24"/>
                <w:b/>
              </w:rPr>
              <w:t>100分</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95</w:t>
            </w:r>
            <w:r>
              <w:rPr>
                <w:rFonts w:ascii="仿宋_GB2312" w:hAnsi="仿宋_GB2312" w:cs="仿宋_GB2312" w:eastAsia="仿宋_GB2312"/>
                <w:sz w:val="24"/>
                <w:b/>
              </w:rPr>
              <w:t>分（含）</w:t>
            </w:r>
            <w:r>
              <w:rPr>
                <w:rFonts w:ascii="仿宋_GB2312" w:hAnsi="仿宋_GB2312" w:cs="仿宋_GB2312" w:eastAsia="仿宋_GB2312"/>
                <w:sz w:val="24"/>
                <w:b/>
              </w:rPr>
              <w:t>-100分</w:t>
            </w:r>
            <w:r>
              <w:rPr>
                <w:rFonts w:ascii="仿宋_GB2312" w:hAnsi="仿宋_GB2312" w:cs="仿宋_GB2312" w:eastAsia="仿宋_GB2312"/>
                <w:sz w:val="24"/>
                <w:b/>
              </w:rPr>
              <w:t>（含）为优秀；</w:t>
            </w:r>
            <w:r>
              <w:rPr>
                <w:rFonts w:ascii="仿宋_GB2312" w:hAnsi="仿宋_GB2312" w:cs="仿宋_GB2312" w:eastAsia="仿宋_GB2312"/>
                <w:sz w:val="24"/>
                <w:b/>
              </w:rPr>
              <w:t>90分（含）-94分（含）</w:t>
            </w:r>
            <w:r>
              <w:rPr>
                <w:rFonts w:ascii="仿宋_GB2312" w:hAnsi="仿宋_GB2312" w:cs="仿宋_GB2312" w:eastAsia="仿宋_GB2312"/>
                <w:sz w:val="24"/>
                <w:b/>
              </w:rPr>
              <w:t>为良好</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24"/>
                <w:b/>
              </w:rPr>
              <w:t>80分（含）</w:t>
            </w:r>
            <w:r>
              <w:rPr>
                <w:rFonts w:ascii="仿宋_GB2312" w:hAnsi="仿宋_GB2312" w:cs="仿宋_GB2312" w:eastAsia="仿宋_GB2312"/>
                <w:sz w:val="24"/>
                <w:b/>
              </w:rPr>
              <w:t>-</w:t>
            </w:r>
            <w:r>
              <w:rPr>
                <w:rFonts w:ascii="仿宋_GB2312" w:hAnsi="仿宋_GB2312" w:cs="仿宋_GB2312" w:eastAsia="仿宋_GB2312"/>
                <w:sz w:val="24"/>
                <w:b/>
              </w:rPr>
              <w:t>89</w:t>
            </w:r>
            <w:r>
              <w:rPr>
                <w:rFonts w:ascii="仿宋_GB2312" w:hAnsi="仿宋_GB2312" w:cs="仿宋_GB2312" w:eastAsia="仿宋_GB2312"/>
                <w:sz w:val="24"/>
                <w:b/>
              </w:rPr>
              <w:t>分</w:t>
            </w:r>
            <w:r>
              <w:rPr>
                <w:rFonts w:ascii="仿宋_GB2312" w:hAnsi="仿宋_GB2312" w:cs="仿宋_GB2312" w:eastAsia="仿宋_GB2312"/>
                <w:sz w:val="24"/>
                <w:b/>
              </w:rPr>
              <w:t>（含）</w:t>
            </w:r>
            <w:r>
              <w:rPr>
                <w:rFonts w:ascii="仿宋_GB2312" w:hAnsi="仿宋_GB2312" w:cs="仿宋_GB2312" w:eastAsia="仿宋_GB2312"/>
                <w:sz w:val="24"/>
                <w:b/>
              </w:rPr>
              <w:t>为合格</w:t>
            </w:r>
            <w:r>
              <w:rPr>
                <w:rFonts w:ascii="仿宋_GB2312" w:hAnsi="仿宋_GB2312" w:cs="仿宋_GB2312" w:eastAsia="仿宋_GB2312"/>
                <w:sz w:val="24"/>
                <w:b/>
              </w:rPr>
              <w:t>；</w:t>
            </w:r>
            <w:r>
              <w:rPr>
                <w:rFonts w:ascii="仿宋_GB2312" w:hAnsi="仿宋_GB2312" w:cs="仿宋_GB2312" w:eastAsia="仿宋_GB2312"/>
                <w:sz w:val="24"/>
                <w:b/>
              </w:rPr>
              <w:t>79</w:t>
            </w:r>
            <w:r>
              <w:rPr>
                <w:rFonts w:ascii="仿宋_GB2312" w:hAnsi="仿宋_GB2312" w:cs="仿宋_GB2312" w:eastAsia="仿宋_GB2312"/>
                <w:sz w:val="24"/>
                <w:b/>
              </w:rPr>
              <w:t>分</w:t>
            </w:r>
            <w:r>
              <w:rPr>
                <w:rFonts w:ascii="仿宋_GB2312" w:hAnsi="仿宋_GB2312" w:cs="仿宋_GB2312" w:eastAsia="仿宋_GB2312"/>
                <w:sz w:val="24"/>
                <w:b/>
              </w:rPr>
              <w:t>（含）</w:t>
            </w:r>
            <w:r>
              <w:rPr>
                <w:rFonts w:ascii="仿宋_GB2312" w:hAnsi="仿宋_GB2312" w:cs="仿宋_GB2312" w:eastAsia="仿宋_GB2312"/>
                <w:sz w:val="24"/>
                <w:b/>
              </w:rPr>
              <w:t>以</w:t>
            </w:r>
            <w:r>
              <w:rPr>
                <w:rFonts w:ascii="仿宋_GB2312" w:hAnsi="仿宋_GB2312" w:cs="仿宋_GB2312" w:eastAsia="仿宋_GB2312"/>
                <w:sz w:val="24"/>
                <w:b/>
              </w:rPr>
              <w:t>下</w:t>
            </w:r>
            <w:r>
              <w:rPr>
                <w:rFonts w:ascii="仿宋_GB2312" w:hAnsi="仿宋_GB2312" w:cs="仿宋_GB2312" w:eastAsia="仿宋_GB2312"/>
                <w:sz w:val="24"/>
                <w:b/>
              </w:rPr>
              <w:t>为</w:t>
            </w:r>
            <w:r>
              <w:rPr>
                <w:rFonts w:ascii="仿宋_GB2312" w:hAnsi="仿宋_GB2312" w:cs="仿宋_GB2312" w:eastAsia="仿宋_GB2312"/>
                <w:sz w:val="24"/>
                <w:b/>
              </w:rPr>
              <w:t>不</w:t>
            </w:r>
            <w:r>
              <w:rPr>
                <w:rFonts w:ascii="仿宋_GB2312" w:hAnsi="仿宋_GB2312" w:cs="仿宋_GB2312" w:eastAsia="仿宋_GB2312"/>
                <w:sz w:val="24"/>
                <w:b/>
              </w:rPr>
              <w:t>合格。</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4"/>
                <w:b/>
              </w:rPr>
              <w:t>检查人员签字：</w:t>
            </w: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考评总结</w:t>
            </w:r>
          </w:p>
        </w:tc>
      </w:tr>
      <w:tr>
        <w:tc>
          <w:tcPr>
            <w:tcW w:type="dxa" w:w="42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维保单位意见</w:t>
            </w:r>
          </w:p>
        </w:tc>
        <w:tc>
          <w:tcPr>
            <w:tcW w:type="dxa" w:w="404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rFonts w:ascii="仿宋_GB2312" w:hAnsi="仿宋_GB2312" w:cs="仿宋_GB2312" w:eastAsia="仿宋_GB2312"/>
                <w:sz w:val="24"/>
                <w:b/>
              </w:rPr>
              <w:t>行政</w:t>
            </w:r>
            <w:r>
              <w:rPr>
                <w:rFonts w:ascii="仿宋_GB2312" w:hAnsi="仿宋_GB2312" w:cs="仿宋_GB2312" w:eastAsia="仿宋_GB2312"/>
                <w:sz w:val="24"/>
                <w:b/>
              </w:rPr>
              <w:t>科意见</w:t>
            </w:r>
          </w:p>
        </w:tc>
      </w:tr>
      <w:tr>
        <w:tc>
          <w:tcPr>
            <w:tcW w:type="dxa" w:w="426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4"/>
                <w:b/>
              </w:rPr>
              <w:t>签名：</w:t>
            </w:r>
          </w:p>
          <w:p>
            <w:pPr>
              <w:pStyle w:val="null3"/>
              <w:spacing w:after="150"/>
              <w:jc w:val="left"/>
            </w:pPr>
            <w:r>
              <w:rPr>
                <w:rFonts w:ascii="仿宋_GB2312" w:hAnsi="仿宋_GB2312" w:cs="仿宋_GB2312" w:eastAsia="仿宋_GB2312"/>
                <w:sz w:val="24"/>
                <w:b/>
              </w:rPr>
              <w:t>盖章：</w:t>
            </w:r>
          </w:p>
          <w:p>
            <w:pPr>
              <w:pStyle w:val="null3"/>
              <w:spacing w:after="150"/>
              <w:jc w:val="left"/>
            </w:pPr>
            <w:r>
              <w:rPr>
                <w:rFonts w:ascii="仿宋_GB2312" w:hAnsi="仿宋_GB2312" w:cs="仿宋_GB2312" w:eastAsia="仿宋_GB2312"/>
                <w:sz w:val="24"/>
                <w:b/>
              </w:rPr>
              <w:t>日期：</w:t>
            </w:r>
          </w:p>
        </w:tc>
        <w:tc>
          <w:tcPr>
            <w:tcW w:type="dxa" w:w="404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rFonts w:ascii="仿宋_GB2312" w:hAnsi="仿宋_GB2312" w:cs="仿宋_GB2312" w:eastAsia="仿宋_GB2312"/>
                <w:sz w:val="24"/>
                <w:b/>
              </w:rPr>
              <w:t>签名：</w:t>
            </w:r>
          </w:p>
          <w:p>
            <w:pPr>
              <w:pStyle w:val="null3"/>
              <w:spacing w:after="150"/>
              <w:jc w:val="left"/>
            </w:pPr>
            <w:r>
              <w:rPr>
                <w:rFonts w:ascii="仿宋_GB2312" w:hAnsi="仿宋_GB2312" w:cs="仿宋_GB2312" w:eastAsia="仿宋_GB2312"/>
                <w:sz w:val="24"/>
                <w:b/>
              </w:rPr>
              <w:t>盖章：</w:t>
            </w:r>
          </w:p>
          <w:p>
            <w:pPr>
              <w:pStyle w:val="null3"/>
              <w:spacing w:after="150"/>
              <w:jc w:val="left"/>
            </w:pPr>
            <w:r>
              <w:rPr>
                <w:rFonts w:ascii="仿宋_GB2312" w:hAnsi="仿宋_GB2312" w:cs="仿宋_GB2312" w:eastAsia="仿宋_GB2312"/>
                <w:sz w:val="24"/>
                <w:b/>
              </w:rPr>
              <w:t>日期：</w:t>
            </w:r>
          </w:p>
        </w:tc>
      </w:tr>
    </w:tbl>
    <w:p>
      <w:pPr>
        <w:pStyle w:val="null3"/>
        <w:jc w:val="both"/>
      </w:pPr>
      <w:r>
        <w:rPr>
          <w:rFonts w:ascii="仿宋_GB2312" w:hAnsi="仿宋_GB2312" w:cs="仿宋_GB2312" w:eastAsia="仿宋_GB2312"/>
          <w:sz w:val="24"/>
          <w:b/>
          <w:shd w:fill="FFFFFF" w:val="clear"/>
        </w:rPr>
        <w:t>备注</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当</w:t>
      </w:r>
      <w:r>
        <w:rPr>
          <w:rFonts w:ascii="仿宋_GB2312" w:hAnsi="仿宋_GB2312" w:cs="仿宋_GB2312" w:eastAsia="仿宋_GB2312"/>
          <w:sz w:val="24"/>
          <w:b/>
          <w:shd w:fill="FFFFFF" w:val="clear"/>
        </w:rPr>
        <w:t>维保单位评分</w:t>
      </w:r>
      <w:r>
        <w:rPr>
          <w:rFonts w:ascii="仿宋_GB2312" w:hAnsi="仿宋_GB2312" w:cs="仿宋_GB2312" w:eastAsia="仿宋_GB2312"/>
          <w:sz w:val="24"/>
          <w:b/>
          <w:shd w:fill="FFFFFF" w:val="clear"/>
        </w:rPr>
        <w:t>为</w:t>
      </w:r>
      <w:r>
        <w:rPr>
          <w:rFonts w:ascii="仿宋_GB2312" w:hAnsi="仿宋_GB2312" w:cs="仿宋_GB2312" w:eastAsia="仿宋_GB2312"/>
          <w:sz w:val="24"/>
          <w:b/>
        </w:rPr>
        <w:t>优秀</w:t>
      </w:r>
      <w:r>
        <w:rPr>
          <w:rFonts w:ascii="仿宋_GB2312" w:hAnsi="仿宋_GB2312" w:cs="仿宋_GB2312" w:eastAsia="仿宋_GB2312"/>
          <w:sz w:val="24"/>
          <w:b/>
          <w:shd w:fill="FFFFFF" w:val="clear"/>
        </w:rPr>
        <w:t>时，支付</w:t>
      </w:r>
      <w:r>
        <w:rPr>
          <w:rFonts w:ascii="仿宋_GB2312" w:hAnsi="仿宋_GB2312" w:cs="仿宋_GB2312" w:eastAsia="仿宋_GB2312"/>
          <w:sz w:val="24"/>
          <w:b/>
          <w:shd w:fill="FFFFFF" w:val="clear"/>
        </w:rPr>
        <w:t>本季度</w:t>
      </w:r>
      <w:r>
        <w:rPr>
          <w:rFonts w:ascii="仿宋_GB2312" w:hAnsi="仿宋_GB2312" w:cs="仿宋_GB2312" w:eastAsia="仿宋_GB2312"/>
          <w:sz w:val="24"/>
          <w:b/>
          <w:shd w:fill="FFFFFF" w:val="clear"/>
        </w:rPr>
        <w:t>合同款项的</w:t>
      </w:r>
      <w:r>
        <w:rPr>
          <w:rFonts w:ascii="仿宋_GB2312" w:hAnsi="仿宋_GB2312" w:cs="仿宋_GB2312" w:eastAsia="仿宋_GB2312"/>
          <w:sz w:val="24"/>
          <w:b/>
          <w:shd w:fill="FFFFFF" w:val="clear"/>
        </w:rPr>
        <w:t>100%；</w:t>
      </w:r>
      <w:r>
        <w:rPr>
          <w:rFonts w:ascii="仿宋_GB2312" w:hAnsi="仿宋_GB2312" w:cs="仿宋_GB2312" w:eastAsia="仿宋_GB2312"/>
          <w:sz w:val="24"/>
          <w:b/>
          <w:shd w:fill="FFFFFF" w:val="clear"/>
        </w:rPr>
        <w:t>当</w:t>
      </w:r>
      <w:r>
        <w:rPr>
          <w:rFonts w:ascii="仿宋_GB2312" w:hAnsi="仿宋_GB2312" w:cs="仿宋_GB2312" w:eastAsia="仿宋_GB2312"/>
          <w:sz w:val="24"/>
          <w:b/>
          <w:shd w:fill="FFFFFF" w:val="clear"/>
        </w:rPr>
        <w:t>评分</w:t>
      </w:r>
      <w:r>
        <w:rPr>
          <w:rFonts w:ascii="仿宋_GB2312" w:hAnsi="仿宋_GB2312" w:cs="仿宋_GB2312" w:eastAsia="仿宋_GB2312"/>
          <w:sz w:val="24"/>
          <w:b/>
        </w:rPr>
        <w:t>为良好</w:t>
      </w:r>
      <w:r>
        <w:rPr>
          <w:rFonts w:ascii="仿宋_GB2312" w:hAnsi="仿宋_GB2312" w:cs="仿宋_GB2312" w:eastAsia="仿宋_GB2312"/>
          <w:sz w:val="24"/>
          <w:b/>
          <w:shd w:fill="FFFFFF" w:val="clear"/>
        </w:rPr>
        <w:t>时，支付</w:t>
      </w:r>
      <w:r>
        <w:rPr>
          <w:rFonts w:ascii="仿宋_GB2312" w:hAnsi="仿宋_GB2312" w:cs="仿宋_GB2312" w:eastAsia="仿宋_GB2312"/>
          <w:sz w:val="24"/>
          <w:b/>
          <w:shd w:fill="FFFFFF" w:val="clear"/>
        </w:rPr>
        <w:t>本季度</w:t>
      </w:r>
      <w:r>
        <w:rPr>
          <w:rFonts w:ascii="仿宋_GB2312" w:hAnsi="仿宋_GB2312" w:cs="仿宋_GB2312" w:eastAsia="仿宋_GB2312"/>
          <w:sz w:val="24"/>
          <w:b/>
          <w:shd w:fill="FFFFFF" w:val="clear"/>
        </w:rPr>
        <w:t>合同款项的</w:t>
      </w:r>
      <w:r>
        <w:rPr>
          <w:rFonts w:ascii="仿宋_GB2312" w:hAnsi="仿宋_GB2312" w:cs="仿宋_GB2312" w:eastAsia="仿宋_GB2312"/>
          <w:sz w:val="24"/>
          <w:b/>
          <w:shd w:fill="FFFFFF" w:val="clear"/>
        </w:rPr>
        <w:t>90%；</w:t>
      </w:r>
      <w:r>
        <w:rPr>
          <w:rFonts w:ascii="仿宋_GB2312" w:hAnsi="仿宋_GB2312" w:cs="仿宋_GB2312" w:eastAsia="仿宋_GB2312"/>
          <w:sz w:val="24"/>
          <w:b/>
          <w:shd w:fill="FFFFFF" w:val="clear"/>
        </w:rPr>
        <w:t>当</w:t>
      </w:r>
      <w:r>
        <w:rPr>
          <w:rFonts w:ascii="仿宋_GB2312" w:hAnsi="仿宋_GB2312" w:cs="仿宋_GB2312" w:eastAsia="仿宋_GB2312"/>
          <w:sz w:val="24"/>
          <w:b/>
          <w:shd w:fill="FFFFFF" w:val="clear"/>
        </w:rPr>
        <w:t>评分</w:t>
      </w:r>
      <w:r>
        <w:rPr>
          <w:rFonts w:ascii="仿宋_GB2312" w:hAnsi="仿宋_GB2312" w:cs="仿宋_GB2312" w:eastAsia="仿宋_GB2312"/>
          <w:sz w:val="24"/>
          <w:b/>
        </w:rPr>
        <w:t>合格</w:t>
      </w:r>
      <w:r>
        <w:rPr>
          <w:rFonts w:ascii="仿宋_GB2312" w:hAnsi="仿宋_GB2312" w:cs="仿宋_GB2312" w:eastAsia="仿宋_GB2312"/>
          <w:sz w:val="24"/>
          <w:b/>
          <w:shd w:fill="FFFFFF" w:val="clear"/>
        </w:rPr>
        <w:t>时，支付</w:t>
      </w:r>
      <w:r>
        <w:rPr>
          <w:rFonts w:ascii="仿宋_GB2312" w:hAnsi="仿宋_GB2312" w:cs="仿宋_GB2312" w:eastAsia="仿宋_GB2312"/>
          <w:sz w:val="24"/>
          <w:b/>
          <w:shd w:fill="FFFFFF" w:val="clear"/>
        </w:rPr>
        <w:t>本季度</w:t>
      </w:r>
      <w:r>
        <w:rPr>
          <w:rFonts w:ascii="仿宋_GB2312" w:hAnsi="仿宋_GB2312" w:cs="仿宋_GB2312" w:eastAsia="仿宋_GB2312"/>
          <w:sz w:val="24"/>
          <w:b/>
          <w:shd w:fill="FFFFFF" w:val="clear"/>
        </w:rPr>
        <w:t>合同款项的</w:t>
      </w:r>
      <w:r>
        <w:rPr>
          <w:rFonts w:ascii="仿宋_GB2312" w:hAnsi="仿宋_GB2312" w:cs="仿宋_GB2312" w:eastAsia="仿宋_GB2312"/>
          <w:sz w:val="24"/>
          <w:b/>
          <w:shd w:fill="FFFFFF" w:val="clear"/>
        </w:rPr>
        <w:t>80%；</w:t>
      </w:r>
      <w:r>
        <w:rPr>
          <w:rFonts w:ascii="仿宋_GB2312" w:hAnsi="仿宋_GB2312" w:cs="仿宋_GB2312" w:eastAsia="仿宋_GB2312"/>
          <w:sz w:val="24"/>
          <w:b/>
          <w:shd w:fill="FFFFFF" w:val="clear"/>
        </w:rPr>
        <w:t>当</w:t>
      </w:r>
      <w:r>
        <w:rPr>
          <w:rFonts w:ascii="仿宋_GB2312" w:hAnsi="仿宋_GB2312" w:cs="仿宋_GB2312" w:eastAsia="仿宋_GB2312"/>
          <w:sz w:val="24"/>
          <w:b/>
          <w:shd w:fill="FFFFFF" w:val="clear"/>
        </w:rPr>
        <w:t>评分</w:t>
      </w:r>
      <w:r>
        <w:rPr>
          <w:rFonts w:ascii="仿宋_GB2312" w:hAnsi="仿宋_GB2312" w:cs="仿宋_GB2312" w:eastAsia="仿宋_GB2312"/>
          <w:sz w:val="24"/>
          <w:b/>
          <w:shd w:fill="FFFFFF" w:val="clear"/>
        </w:rPr>
        <w:t>为不合格</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扣除</w:t>
      </w:r>
      <w:r>
        <w:rPr>
          <w:rFonts w:ascii="仿宋_GB2312" w:hAnsi="仿宋_GB2312" w:cs="仿宋_GB2312" w:eastAsia="仿宋_GB2312"/>
          <w:sz w:val="24"/>
          <w:b/>
          <w:shd w:fill="FFFFFF" w:val="clear"/>
        </w:rPr>
        <w:t>本季</w:t>
      </w:r>
      <w:r>
        <w:rPr>
          <w:rFonts w:ascii="仿宋_GB2312" w:hAnsi="仿宋_GB2312" w:cs="仿宋_GB2312" w:eastAsia="仿宋_GB2312"/>
          <w:sz w:val="24"/>
          <w:b/>
          <w:shd w:fill="FFFFFF" w:val="clear"/>
        </w:rPr>
        <w:t>度合同款项。</w:t>
      </w:r>
      <w:r>
        <w:rPr>
          <w:rFonts w:ascii="仿宋_GB2312" w:hAnsi="仿宋_GB2312" w:cs="仿宋_GB2312" w:eastAsia="仿宋_GB2312"/>
          <w:sz w:val="24"/>
          <w:b/>
          <w:shd w:fill="FFFFFF" w:val="clear"/>
        </w:rPr>
        <w:t>一年内出现两次</w:t>
      </w:r>
      <w:r>
        <w:rPr>
          <w:rFonts w:ascii="仿宋_GB2312" w:hAnsi="仿宋_GB2312" w:cs="仿宋_GB2312" w:eastAsia="仿宋_GB2312"/>
          <w:sz w:val="24"/>
          <w:b/>
          <w:shd w:fill="FFFFFF" w:val="clear"/>
        </w:rPr>
        <w:t>考核</w:t>
      </w:r>
      <w:r>
        <w:rPr>
          <w:rFonts w:ascii="仿宋_GB2312" w:hAnsi="仿宋_GB2312" w:cs="仿宋_GB2312" w:eastAsia="仿宋_GB2312"/>
          <w:sz w:val="24"/>
          <w:b/>
          <w:shd w:fill="FFFFFF" w:val="clear"/>
        </w:rPr>
        <w:t>不合格，则采购人有权终止维保服务合同</w:t>
      </w:r>
      <w:r>
        <w:rPr>
          <w:rFonts w:ascii="仿宋_GB2312" w:hAnsi="仿宋_GB2312" w:cs="仿宋_GB2312" w:eastAsia="仿宋_GB2312"/>
          <w:sz w:val="24"/>
          <w:b/>
          <w:shd w:fill="FFFFFF" w:val="clear"/>
        </w:rPr>
        <w:t>，同时成交供应商需赔偿采购人因此导致的所有损失。</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 2.1本磋商文件未明确的其它约定事项或条款，待采购人与成交供应商签订合同时，由双方协商订立。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[350001]SA[CS]2025005</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局立体停车库维保服务</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1(局立体停车库维保服务)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局立体停车库维保服务</w:t>
            </w:r>
          </w:p>
        </w:tc>
        <w:tc>
          <w:tcPr>
            <w:tcW w:type="dxa" w:w="1661"/>
          </w:tcPr>
          <w:p>
            <w:pPr>
              <w:pStyle w:val="null3"/>
              <w:jc w:val="left"/>
            </w:pPr>
            <w:r>
              <w:rPr>
                <w:rFonts w:ascii="仿宋_GB2312" w:hAnsi="仿宋_GB2312" w:cs="仿宋_GB2312" w:eastAsia="仿宋_GB2312"/>
              </w:rPr>
              <w:t xml:space="preserve"> 1240000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[350001]SA[CS]2025005</w:t>
      </w:r>
    </w:p>
    <w:p>
      <w:pPr>
        <w:pStyle w:val="null3"/>
        <w:jc w:val="left"/>
      </w:pPr>
      <w:r>
        <w:rPr>
          <w:rFonts w:ascii="仿宋_GB2312" w:hAnsi="仿宋_GB2312" w:cs="仿宋_GB2312" w:eastAsia="仿宋_GB2312"/>
        </w:rPr>
        <w:t>项目名称：</w:t>
      </w:r>
      <w:r>
        <w:rPr>
          <w:rFonts w:ascii="仿宋_GB2312" w:hAnsi="仿宋_GB2312" w:cs="仿宋_GB2312" w:eastAsia="仿宋_GB2312"/>
        </w:rPr>
        <w:t>局立体停车库维保服务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局立体停车库维保服务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局立体停车库维保服务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局立体停车库维保服务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